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752" w:rsidRDefault="00D517C8" w:rsidP="00D517C8">
      <w:pPr>
        <w:jc w:val="center"/>
        <w:rPr>
          <w:rFonts w:ascii="Times New Roman" w:hAnsi="Times New Roman" w:cs="Times New Roman"/>
          <w:b/>
          <w:sz w:val="28"/>
          <w:szCs w:val="28"/>
        </w:rPr>
      </w:pPr>
      <w:r w:rsidRPr="00D517C8">
        <w:rPr>
          <w:rFonts w:ascii="Times New Roman" w:hAnsi="Times New Roman" w:cs="Times New Roman"/>
          <w:b/>
          <w:sz w:val="28"/>
          <w:szCs w:val="28"/>
        </w:rPr>
        <w:t>Danh mụ</w:t>
      </w:r>
      <w:r w:rsidR="001E57A3">
        <w:rPr>
          <w:rFonts w:ascii="Times New Roman" w:hAnsi="Times New Roman" w:cs="Times New Roman"/>
          <w:b/>
          <w:sz w:val="28"/>
          <w:szCs w:val="28"/>
        </w:rPr>
        <w:t xml:space="preserve">c Thông tư/ Quyết định của </w:t>
      </w:r>
      <w:r w:rsidRPr="00D517C8">
        <w:rPr>
          <w:rFonts w:ascii="Times New Roman" w:hAnsi="Times New Roman" w:cs="Times New Roman"/>
          <w:b/>
          <w:sz w:val="28"/>
          <w:szCs w:val="28"/>
        </w:rPr>
        <w:t>các Bộ</w:t>
      </w:r>
      <w:r w:rsidR="00831752">
        <w:rPr>
          <w:rFonts w:ascii="Times New Roman" w:hAnsi="Times New Roman" w:cs="Times New Roman"/>
          <w:b/>
          <w:sz w:val="28"/>
          <w:szCs w:val="28"/>
        </w:rPr>
        <w:t>, Cơ quan ngang Bộ</w:t>
      </w:r>
      <w:r w:rsidR="001E57A3">
        <w:rPr>
          <w:rFonts w:ascii="Times New Roman" w:hAnsi="Times New Roman" w:cs="Times New Roman"/>
          <w:b/>
          <w:sz w:val="28"/>
          <w:szCs w:val="28"/>
        </w:rPr>
        <w:t xml:space="preserve"> quy định </w:t>
      </w:r>
    </w:p>
    <w:p w:rsidR="00AC129A" w:rsidRDefault="001E57A3" w:rsidP="00D517C8">
      <w:pPr>
        <w:jc w:val="center"/>
        <w:rPr>
          <w:rFonts w:ascii="Times New Roman" w:hAnsi="Times New Roman" w:cs="Times New Roman"/>
          <w:b/>
          <w:sz w:val="28"/>
          <w:szCs w:val="28"/>
        </w:rPr>
      </w:pPr>
      <w:r>
        <w:rPr>
          <w:rFonts w:ascii="Times New Roman" w:hAnsi="Times New Roman" w:cs="Times New Roman"/>
          <w:b/>
          <w:sz w:val="28"/>
          <w:szCs w:val="28"/>
        </w:rPr>
        <w:t xml:space="preserve">điều kiện kinh doanh </w:t>
      </w:r>
    </w:p>
    <w:p w:rsidR="001E57A3" w:rsidRPr="00D517C8" w:rsidRDefault="001E57A3" w:rsidP="00D517C8">
      <w:pPr>
        <w:jc w:val="center"/>
        <w:rPr>
          <w:rFonts w:ascii="Times New Roman" w:hAnsi="Times New Roman" w:cs="Times New Roman"/>
          <w:b/>
          <w:sz w:val="28"/>
          <w:szCs w:val="28"/>
        </w:rPr>
      </w:pPr>
    </w:p>
    <w:tbl>
      <w:tblPr>
        <w:tblStyle w:val="TableGrid"/>
        <w:tblW w:w="9747" w:type="dxa"/>
        <w:tblLook w:val="04A0"/>
      </w:tblPr>
      <w:tblGrid>
        <w:gridCol w:w="817"/>
        <w:gridCol w:w="4758"/>
        <w:gridCol w:w="4172"/>
      </w:tblGrid>
      <w:tr w:rsidR="004D33FC" w:rsidRPr="001E57A3" w:rsidTr="001E57A3">
        <w:tc>
          <w:tcPr>
            <w:tcW w:w="817" w:type="dxa"/>
            <w:shd w:val="clear" w:color="auto" w:fill="DEEAF6" w:themeFill="accent1" w:themeFillTint="33"/>
          </w:tcPr>
          <w:p w:rsidR="004D33FC" w:rsidRPr="001E57A3" w:rsidRDefault="004D33FC" w:rsidP="001E57A3">
            <w:pPr>
              <w:spacing w:line="276" w:lineRule="auto"/>
              <w:jc w:val="center"/>
              <w:rPr>
                <w:rFonts w:ascii="Times New Roman" w:hAnsi="Times New Roman" w:cs="Times New Roman"/>
                <w:b/>
                <w:sz w:val="26"/>
                <w:szCs w:val="26"/>
              </w:rPr>
            </w:pPr>
            <w:r w:rsidRPr="001E57A3">
              <w:rPr>
                <w:rFonts w:ascii="Times New Roman" w:hAnsi="Times New Roman" w:cs="Times New Roman"/>
                <w:b/>
                <w:sz w:val="26"/>
                <w:szCs w:val="26"/>
              </w:rPr>
              <w:br w:type="page"/>
              <w:t>STT</w:t>
            </w:r>
          </w:p>
        </w:tc>
        <w:tc>
          <w:tcPr>
            <w:tcW w:w="4758" w:type="dxa"/>
            <w:shd w:val="clear" w:color="auto" w:fill="DEEAF6" w:themeFill="accent1" w:themeFillTint="33"/>
          </w:tcPr>
          <w:p w:rsidR="004D33FC" w:rsidRDefault="004D33FC" w:rsidP="001E57A3">
            <w:pPr>
              <w:spacing w:line="276" w:lineRule="auto"/>
              <w:jc w:val="center"/>
              <w:rPr>
                <w:rFonts w:ascii="Times New Roman" w:hAnsi="Times New Roman" w:cs="Times New Roman"/>
                <w:b/>
                <w:sz w:val="26"/>
                <w:szCs w:val="26"/>
              </w:rPr>
            </w:pPr>
            <w:r w:rsidRPr="001E57A3">
              <w:rPr>
                <w:rFonts w:ascii="Times New Roman" w:hAnsi="Times New Roman" w:cs="Times New Roman"/>
                <w:b/>
                <w:sz w:val="26"/>
                <w:szCs w:val="26"/>
              </w:rPr>
              <w:t>Thông tư</w:t>
            </w:r>
          </w:p>
          <w:p w:rsidR="001E57A3" w:rsidRPr="001E57A3" w:rsidRDefault="001E57A3" w:rsidP="001E57A3">
            <w:pPr>
              <w:spacing w:line="276" w:lineRule="auto"/>
              <w:jc w:val="center"/>
              <w:rPr>
                <w:rFonts w:ascii="Times New Roman" w:hAnsi="Times New Roman" w:cs="Times New Roman"/>
                <w:b/>
                <w:sz w:val="26"/>
                <w:szCs w:val="26"/>
              </w:rPr>
            </w:pPr>
          </w:p>
        </w:tc>
        <w:tc>
          <w:tcPr>
            <w:tcW w:w="4172" w:type="dxa"/>
            <w:shd w:val="clear" w:color="auto" w:fill="DEEAF6" w:themeFill="accent1" w:themeFillTint="33"/>
          </w:tcPr>
          <w:p w:rsidR="004D33FC" w:rsidRPr="001E57A3" w:rsidRDefault="004D33FC" w:rsidP="001E57A3">
            <w:pPr>
              <w:spacing w:line="276" w:lineRule="auto"/>
              <w:jc w:val="center"/>
              <w:rPr>
                <w:rFonts w:ascii="Times New Roman" w:hAnsi="Times New Roman" w:cs="Times New Roman"/>
                <w:b/>
                <w:sz w:val="26"/>
                <w:szCs w:val="26"/>
              </w:rPr>
            </w:pPr>
            <w:r w:rsidRPr="001E57A3">
              <w:rPr>
                <w:rFonts w:ascii="Times New Roman" w:hAnsi="Times New Roman" w:cs="Times New Roman"/>
                <w:b/>
                <w:sz w:val="26"/>
                <w:szCs w:val="26"/>
              </w:rPr>
              <w:t>Điều, Khoản bãi bỏ</w:t>
            </w:r>
          </w:p>
        </w:tc>
      </w:tr>
      <w:tr w:rsidR="004D33FC" w:rsidRPr="001E57A3" w:rsidTr="001E57A3">
        <w:tc>
          <w:tcPr>
            <w:tcW w:w="817" w:type="dxa"/>
          </w:tcPr>
          <w:p w:rsidR="004D33FC" w:rsidRPr="001E57A3" w:rsidRDefault="004D33FC" w:rsidP="001E57A3">
            <w:pPr>
              <w:pStyle w:val="ListParagraph"/>
              <w:spacing w:line="276" w:lineRule="auto"/>
              <w:rPr>
                <w:rFonts w:ascii="Times New Roman" w:hAnsi="Times New Roman" w:cs="Times New Roman"/>
                <w:b/>
                <w:sz w:val="26"/>
                <w:szCs w:val="26"/>
              </w:rPr>
            </w:pPr>
          </w:p>
        </w:tc>
        <w:tc>
          <w:tcPr>
            <w:tcW w:w="8930" w:type="dxa"/>
            <w:gridSpan w:val="2"/>
          </w:tcPr>
          <w:p w:rsidR="004D33FC" w:rsidRPr="001E57A3" w:rsidRDefault="004D33FC"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 Công An</w:t>
            </w:r>
          </w:p>
        </w:tc>
      </w:tr>
      <w:tr w:rsidR="004D33FC" w:rsidRPr="001E57A3" w:rsidTr="001E57A3">
        <w:tc>
          <w:tcPr>
            <w:tcW w:w="817" w:type="dxa"/>
          </w:tcPr>
          <w:p w:rsidR="004D33FC" w:rsidRPr="001E57A3" w:rsidRDefault="004D33FC"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4D33FC" w:rsidRPr="001E57A3" w:rsidRDefault="004D33FC"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33/2010/TT-BCA ngày 5 tháng 10 năm 2010 của Bộ Công An</w:t>
            </w:r>
          </w:p>
        </w:tc>
        <w:tc>
          <w:tcPr>
            <w:tcW w:w="4172" w:type="dxa"/>
          </w:tcPr>
          <w:p w:rsidR="004D33FC" w:rsidRPr="001E57A3" w:rsidRDefault="004D33FC"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4, Điều 5, Điều 6</w:t>
            </w:r>
          </w:p>
        </w:tc>
      </w:tr>
      <w:tr w:rsidR="004D33FC" w:rsidRPr="001E57A3" w:rsidTr="001E57A3">
        <w:tc>
          <w:tcPr>
            <w:tcW w:w="817" w:type="dxa"/>
          </w:tcPr>
          <w:p w:rsidR="004D33FC" w:rsidRPr="001E57A3" w:rsidRDefault="004D33FC"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4D33FC" w:rsidRPr="001E57A3" w:rsidRDefault="004D33FC"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08/2010/TT-BCA ngày 5 tháng 2 năm 2010 của Bộ Công An</w:t>
            </w:r>
          </w:p>
        </w:tc>
        <w:tc>
          <w:tcPr>
            <w:tcW w:w="4172" w:type="dxa"/>
          </w:tcPr>
          <w:p w:rsidR="004D33FC" w:rsidRPr="001E57A3" w:rsidRDefault="004D33FC"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Khoản 1</w:t>
            </w:r>
          </w:p>
        </w:tc>
      </w:tr>
      <w:tr w:rsidR="004D33FC" w:rsidRPr="001E57A3" w:rsidTr="001E57A3">
        <w:tc>
          <w:tcPr>
            <w:tcW w:w="817" w:type="dxa"/>
          </w:tcPr>
          <w:p w:rsidR="004D33FC" w:rsidRPr="001E57A3" w:rsidRDefault="004D33FC"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4D33FC" w:rsidRPr="001E57A3" w:rsidRDefault="004D33FC"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45/2009/TT-BCA ngày 14 tháng 7 năm 2009 của Bộ Công An</w:t>
            </w:r>
          </w:p>
        </w:tc>
        <w:tc>
          <w:tcPr>
            <w:tcW w:w="4172" w:type="dxa"/>
          </w:tcPr>
          <w:p w:rsidR="004D33FC" w:rsidRPr="001E57A3" w:rsidRDefault="004D33FC"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Mục II</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33/2014/TT-BCA ngày 05 tháng 08 năm 2014 Bộ Công An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35/2010/TT-BCA ngày 11 tháng 10 năm 2010 Bộ Công An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10</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b/>
                <w:sz w:val="26"/>
                <w:szCs w:val="26"/>
              </w:rPr>
              <w:t>Bộ Tư pháp</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19/2013/TT-BTP ngày 28 tháng 11 năm 2013 của Bộ Tư Pháp</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11, Điều 12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04/2015/TT-BTP ngày 15 tháng 04 năm 2015 của Bộ Tư Pháp</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2 Khoản 2, Điều 8, Điều 16 Khoản 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23/2010/TT-BTP ngày 06 tháng 12 năm 2010 của Bộ Tư pháp</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11</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b/>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 Tài chính</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138/2013/TT-BTC ngày 09 tháng 10 năm 2013 của Bộ Tài chính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 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129/2012/TT-BTC ngày 09 tháng 8 năm 2012 của Bộ Tài chính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Điều 10</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80813"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w:t>
            </w:r>
            <w:r w:rsidR="00D517C8" w:rsidRPr="001E57A3">
              <w:rPr>
                <w:rFonts w:ascii="Times New Roman" w:hAnsi="Times New Roman" w:cs="Times New Roman"/>
                <w:sz w:val="26"/>
                <w:szCs w:val="26"/>
              </w:rPr>
              <w:t>72/2007/TT-BTC ngày 27 tháng 6 năm 2007 của Bộ Tài chính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Mục 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150/2012/TT-BTC ngày 12 tháng 9 năm 2012 của Bộ Tài chính và Thông tư 56/2015/TT-BTC ngày 23 tháng 04 năm 2015 của Bộ Tài chính sửa đổi, bổ sung Thông tư 150/2012/TT-BTC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5, Điều 6, Điều 11, Điều 12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117/2012/TT-BTC ngày 19 tháng 07 năm 2012 của Bộ Tài chính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4, Điều 6, Điều 11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38/2015/TT-BTC ngày 25 tháng 3 năm 2015 của Bộ Tài chính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97, Điều 98</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210/2012/TT-BTC ngày 30 tháng 11 năm 2012 của Bộ Tài chính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34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15/2008/QĐ-BTC ngày 27 tháng 3 năm 2008 của Bộ Tài chính và Thông tư 147/2012/TT-BTC ngày 10 tháng 09 năm 2012 của Bộ Tài chính sửa đổi, bổ sung Quyết định 15/2008/QĐ-BTC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132/QĐ-UBCK ngày 06 tháng 03 năm 2013 của Ủy ban Chứng khoán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 Điều 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212/2012/TT-BTC ngày 05 tháng 12 năm 2012 của Bộ Tài chính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4, Điều 13</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124/2012/TT-BTC ngày 30 tháng 07 năm 2012 của Bộ Tài chính và Thông tư 194/2014/TT-BTC ngày 17 tháng 12 năm 2014 của Bộ Tài chính sửa đổi, bổ sung Thông tư 124/2012/TT-BTC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Điều 5, Điều 6, Điều 22, Điều 23, Điều 24, Điều 25, Điều 26, Điều 27, Điều 28, Điều 29, Điều 30, Điều 31, Điều 32, Điều 33, Điều 34, Điều 35, Điều 36, Điều 43, Điều 44, Điều 45, Điều 46, Điều 48</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125/2012/TT-BTC ngày 30 tháng 7 năm 2012 của Bộ Tài chính và Thông tư 194/2014/TT-BTC ngày 17 tháng 12 năm 2014 của Bộ Tài chính sửa đổi, bổ sung Thông tư 125/2012/TT-BTC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Điều 5, Điều 6, Điều 7, Điều 8, Điều 9</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116/2014/TT-BTC Hà Nội, ngày 20 tháng 08 năm 2014 của Bộ Tài chính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135/2012/TT-BTC ngày 15 tháng 8 năm 2012 của Bộ Tài chính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115/2013/TT-BTC ngày 20 tháng 08 năm 2013 của Bộ Tài chính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25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46/2014/TT-BTC ngày 16 tháng 4 năm 2014 của Bộ Tài chính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127/2012/TT-BTC ngày 08 tháng 08 năm 2012  của Bộ Tài chính và Thông </w:t>
            </w:r>
            <w:r w:rsidRPr="001E57A3">
              <w:rPr>
                <w:rFonts w:ascii="Times New Roman" w:hAnsi="Times New Roman" w:cs="Times New Roman"/>
                <w:sz w:val="26"/>
                <w:szCs w:val="26"/>
              </w:rPr>
              <w:lastRenderedPageBreak/>
              <w:t>tư 205/2014/TT-BTC ngày 24 tháng 12 năm 2014 của Bộ Tài chính sửa đổi, bổ sung Thông tư 127/2012/TT-BTC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lastRenderedPageBreak/>
              <w:t>Điều 3</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75/2013/TT-BTC ngày 04 tháng 6 năm 2013 của Bộ Tài chính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36, Điều 37</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b/>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 Công thương</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41/2011/TT-BCT ngày 16 tháng 12 năm 2011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43, Điều 47</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23/2009/TT-BCT ngày 11 tháng 08 năm 2009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Điều 5, Điều 9, Điều 11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26/2012/TT-BCT ngày 21 tháng 09 năm 2012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61/2014/TT-BCT ngày 29 tháng 12 năm 2014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4, Điều 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28/2010/TT- BCT ngày 28 tháng 06 năm 2010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 Điều 6, Điều 7, Điều 17, Điều 18</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55/2014/TT-BCT ngày 19 tháng 12 năm 2014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29/2014/TT-BCT ngày 30 tháng 9 năm 2014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 Điều 13, Điều 14, Điều 15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15/2012/TT-BYT ngày 12 tháng 9 năm 2012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 Điều 2, Điều 3, Điều 4, Điều 5, Điều 6, Điều 7</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40/2012/TT-BCT ngày 21 tháng 12 năm 2012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53/2014/TT-BCT ngày 18 tháng 12 năm 2014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Chương II, Chương III: Điều 5, Điều 6, Điều 7, Điều 8, Điều 9, Điều 10, Điều 11, Điều 12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54/2014/TT-BCT ngày 18 tháng 12 năm 2014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Chương II, Chương III: Điều 5, Điều 6, Điều 7, Điều 8, Điều 9, Điều 10, Điều 11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59/2014/TT-BCT ngày 22 tháng 12 năm 2014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Chương II, Chương III</w:t>
            </w:r>
            <w:r w:rsidR="00D80813" w:rsidRPr="001E57A3">
              <w:rPr>
                <w:rFonts w:ascii="Times New Roman" w:hAnsi="Times New Roman" w:cs="Times New Roman"/>
                <w:sz w:val="26"/>
                <w:szCs w:val="26"/>
              </w:rPr>
              <w:t xml:space="preserve"> (Điều 5, Điều 6, Điều 7, Điều 8, Điều 9, Điều 10, Điều 11)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44/2010/TT-BCT </w:t>
            </w:r>
            <w:r w:rsidR="00D80813" w:rsidRPr="001E57A3">
              <w:rPr>
                <w:rFonts w:ascii="Times New Roman" w:hAnsi="Times New Roman" w:cs="Times New Roman"/>
                <w:sz w:val="26"/>
                <w:szCs w:val="26"/>
              </w:rPr>
              <w:t>n</w:t>
            </w:r>
            <w:bookmarkStart w:id="0" w:name="_GoBack"/>
            <w:bookmarkEnd w:id="0"/>
            <w:r w:rsidRPr="001E57A3">
              <w:rPr>
                <w:rFonts w:ascii="Times New Roman" w:hAnsi="Times New Roman" w:cs="Times New Roman"/>
                <w:sz w:val="26"/>
                <w:szCs w:val="26"/>
              </w:rPr>
              <w:t>gày 31 tháng 12 năm 2010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80813"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05/2014/TT-BCT </w:t>
            </w:r>
            <w:r w:rsidR="00D517C8" w:rsidRPr="001E57A3">
              <w:rPr>
                <w:rFonts w:ascii="Times New Roman" w:hAnsi="Times New Roman" w:cs="Times New Roman"/>
                <w:sz w:val="26"/>
                <w:szCs w:val="26"/>
              </w:rPr>
              <w:t>ngày 27 tháng 01 năm 2014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9, Điều 10, Điều 11, Điều 12, Điều 18, Điều 19</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80813"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09/2006/TT-BTM </w:t>
            </w:r>
            <w:r w:rsidR="00D517C8" w:rsidRPr="001E57A3">
              <w:rPr>
                <w:rFonts w:ascii="Times New Roman" w:hAnsi="Times New Roman" w:cs="Times New Roman"/>
                <w:sz w:val="26"/>
                <w:szCs w:val="26"/>
              </w:rPr>
              <w:t>ngày 25 tháng 5 năm 2006 của Bộ Thương mại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Mục II</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14/2013/TT-BCT ngày 15 tháng 07 năm 2013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15/2013/TT-BCT ngày 15 tháng 07 năm 2013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41/2012/TT-BCT ngày 21 tháng 12 năm 2012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42/2013/TT-BCT  ngày 31 tháng 12 năm 2013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6, Điều 7, Điều 9</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08/2013/TT-BCT  ngày 22 tháng 4 năm 2013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2, Điều 3, Điều 4, Điều 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47/2014/TT-BCT ngày 05 tháng 12 năm 2014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9</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48/2011/TT-BCT ngày 30 tháng 12 năm 2011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11, Điều 12, Điều 13, Điều 14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tabs>
                <w:tab w:val="left" w:pos="3375"/>
              </w:tabs>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24/2014/TT-BCT ngày 30 tháng 07 năm 2014 của Bộ Công thương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13 Khoản 2</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b/>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 Lao động – Thương binh và xã hội</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15/2011/TT-BLDTBXH ngày 10 tháng 5 năm 2011 của Bộ Lao động- Thương binh và xã hội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23/2013/TT-BLDTBXH ngày 16 tháng 10 năm 2013 của Bộ Lao động- Thương binh và xã hội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06/2014/TT-BLDTBXH ngày 06 tháng 03 năm 2014 của Bộ Lao động- Thương binh và xã hội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27/2013/TT-BLDTBXH ngày 18 tháng 10 năm 2013 của Bộ Lao động- Thương binh và xã hội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13</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35/2012/TT-BLĐTBXH  ngày 27 tháng 12 năm 2012 của Bộ Lao động- Thương binh và xã hội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6</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b/>
                <w:sz w:val="26"/>
                <w:szCs w:val="26"/>
              </w:rPr>
              <w:t>Bộ Giao thông vận tải</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63/2014/TT-BGTVT  ngày 7 tháng 11 năm 2014 của Bộ Giao thông vận </w:t>
            </w:r>
            <w:r w:rsidRPr="001E57A3">
              <w:rPr>
                <w:rFonts w:ascii="Times New Roman" w:hAnsi="Times New Roman" w:cs="Times New Roman"/>
                <w:sz w:val="26"/>
                <w:szCs w:val="26"/>
              </w:rPr>
              <w:lastRenderedPageBreak/>
              <w:t>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lastRenderedPageBreak/>
              <w:t xml:space="preserve">Điều 4, Điều 5, Điều 6, Điều 7, Điều 8, Điều 9, Điều 10, Điều 11, Điều 12, </w:t>
            </w:r>
            <w:r w:rsidRPr="001E57A3">
              <w:rPr>
                <w:rFonts w:ascii="Times New Roman" w:hAnsi="Times New Roman" w:cs="Times New Roman"/>
                <w:sz w:val="26"/>
                <w:szCs w:val="26"/>
              </w:rPr>
              <w:lastRenderedPageBreak/>
              <w:t>Điều 26, Điều 27, Điều 28, Điều 37, Điều 38, Điều 39, Điều 40, Điều 41, Điều 44, Điều 46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10/2006/TT-BGTVT ngày  01  tháng 11 năm 2006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Mục III, IV Khoản 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38/2011/TT-BGTVT ngày 18 tháng 05 năm 2011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19/2012/TT-BGTVT ngày 06 tháng 06 năm 2012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Điều 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59/2013/TT-BGTVT 30 tháng 12 năm 2013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Điều 7</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46/2012/TT-BGTVT ngày 07 tháng 11 năm 2012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tabs>
                <w:tab w:val="left" w:pos="3375"/>
              </w:tabs>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38/2013/TT-BGTVT ngày 24 tháng 10 năm 2013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Khoản 1 Điều 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966/QĐ-BGTVT ngày 31 tháng 03 năm 2014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16/2012/TT-BGTVT ngày 25 tháng 5 năm 2012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7, Điều 9</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46/2012/TT-BGTVT ngày 07 tháng 11 năm 2012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30, Điều 31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tabs>
                <w:tab w:val="left" w:pos="3570"/>
              </w:tabs>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08/2012/TT-BGTVT ngày 23 tháng 03 năm 2012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03/2013/TT-BGTVT ngày 29 tháng 03 năm 2013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 Khoản 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57/2014/TT-BGTVT ngày 24 tháng 10 năm 2014 của Bộ Giao thông vận </w:t>
            </w:r>
            <w:r w:rsidRPr="001E57A3">
              <w:rPr>
                <w:rFonts w:ascii="Times New Roman" w:hAnsi="Times New Roman" w:cs="Times New Roman"/>
                <w:sz w:val="26"/>
                <w:szCs w:val="26"/>
              </w:rPr>
              <w:lastRenderedPageBreak/>
              <w:t>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lastRenderedPageBreak/>
              <w:t>Điều 3, Điều 4, Điều 5, Điều 6, Điều 7, Điều 8, Điều 9, Điều 10, Điều 12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01/2011/TT-BGTVT ngày 27 tháng 01 năm 2011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Phần 5 Bộ quy chế an toàn hàng không dân dụng lĩnh vực tàu bay và khai thác tàu bay</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12/2007/QĐ-BGTVT ngày 21 tháng 3 năm 2007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42 Khoản 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14/2007/QĐ-BGTVT ngày 26 tháng 3 năm 2007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21 Khoản 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tabs>
                <w:tab w:val="right" w:pos="4284"/>
              </w:tabs>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21/2007/QĐ-BGTVT ngày 06 tháng 04 năm 2007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62 Khoản 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32/2007/QĐ- BGTVT ngày 05 tháng 07 năm 2007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67 Khoản 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61/2011/TT-BGTVT ngày 21 tháng 12 năm 2011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15, Điều 16, Điều 17, Điều 26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30/2014/TT-BGTVT ngày 31 tháng 7 năm 2014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7</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33/2014/TT-BGTVT ngày 08 tháng 08 năm 2014 của Bộ Giao Thông Vận Tải</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4</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 Xây dựng</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13/2008/TT-BXD ngày 21 tháng 5 năm 2008 của Bộ Xây dựng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Phần 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29/2007/QĐ-BXD ngày  31 tháng 12 năm 2007 Bộ Xây dựng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Phần 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14/2011/TT- BXD ngày 25 tháng 11 năm 2011 của Bộ Xây dựng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 Điều 10</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tabs>
                <w:tab w:val="right" w:pos="4284"/>
              </w:tabs>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06/2011/TT-BXD ngày 21 tháng 6 năm 2011 của Bộ Xây dựng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2 Khoản 1, 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03/2011/TT-BXD ngày 06 tháng 04 năm 2011 của Bộ Xây dựng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7, Điều 10</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04/2014/TT-BXD ngày 22 tháng </w:t>
            </w:r>
            <w:r w:rsidRPr="001E57A3">
              <w:rPr>
                <w:rFonts w:ascii="Times New Roman" w:hAnsi="Times New Roman" w:cs="Times New Roman"/>
                <w:sz w:val="26"/>
                <w:szCs w:val="26"/>
              </w:rPr>
              <w:lastRenderedPageBreak/>
              <w:t>4 năm 2014 của Bộ Xây dựng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lastRenderedPageBreak/>
              <w:t>Điều 5, Điều 6, Điều 7</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 Thông tin và Truyền thông</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18/2014/TT-BTTTT ngày 26 tháng 11 năm 2014 của Bộ Thông tin và Truyền thông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tabs>
                <w:tab w:val="left" w:pos="3585"/>
              </w:tabs>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03/2015/TT-BTTTT ngày 06 tháng 03 năm 2015 của Bộ Thông tin và Truyền thông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09/2014/TT-BTTTT ngày 19 tháng 08 năm 2014 của Bộ Thông tin và Truyền thông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4, Điều 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03/2014/TT-BTTTT ngày 11 tháng 3 năm 2014 của Bộ Thông tin và Truyền thông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tabs>
                <w:tab w:val="left" w:pos="3420"/>
              </w:tabs>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24/2014/TT-BTTTT ngày 29 tháng 12 năm 2014 của Bộ Thông tin và Truyền thông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12, Điều 13, Điều 17, Điều 21, Điều 22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19/2009/TT-BTTTT ngày 28 tháng 05 năm 2009 của Bộ Thông tin và Truyền thông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9</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 Giáo dục và Đào tạo</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01/2007/QĐ-BGDĐT ngày 02 tháng 01 năm 2007 của Bộ Giáo dục và Đào tạo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Điều 8, Điều 13, Điều 14, Điều 25, Điều 35, Điều 38 </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03/2011/TT-BGDĐT ngày 28 tháng 01 năm 2011 của Bộ Giáo dục và Đào tạo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7, Điều 12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tabs>
                <w:tab w:val="right" w:pos="4284"/>
              </w:tabs>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04/2014/TT-BGDĐT ngày 28 tháng 02 năm 2014 của Bộ Giáo dục và Đào tạo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Điều 5, 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82/2007/QĐ-BGDĐT ngày 24 tháng 12 năm 2007 của Bộ Giáo dục và Đào tạo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tabs>
                <w:tab w:val="right" w:pos="4284"/>
              </w:tabs>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12/2011/TT-BGDĐT ngày 28 tháng 3 năm 2011 của Bộ Giáo dục và Đào tạo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9</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41/2010/TT-BGDĐT ngày 30 </w:t>
            </w:r>
            <w:r w:rsidRPr="001E57A3">
              <w:rPr>
                <w:rFonts w:ascii="Times New Roman" w:hAnsi="Times New Roman" w:cs="Times New Roman"/>
                <w:sz w:val="26"/>
                <w:szCs w:val="26"/>
              </w:rPr>
              <w:lastRenderedPageBreak/>
              <w:t>tháng 12 năm 2010 của Bộ Giáo dục và Đào tạo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lastRenderedPageBreak/>
              <w:t xml:space="preserve">Điều 9, Điều 16, Điều 17, Điều 18, </w:t>
            </w:r>
            <w:r w:rsidRPr="001E57A3">
              <w:rPr>
                <w:rFonts w:ascii="Times New Roman" w:hAnsi="Times New Roman" w:cs="Times New Roman"/>
                <w:sz w:val="26"/>
                <w:szCs w:val="26"/>
              </w:rPr>
              <w:lastRenderedPageBreak/>
              <w:t>Điều 19, Điều 27, Điều 28, Điều 29, Điều 30, Điều 31, Điều 36, Điều 46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54/2011/TT-BGDĐT ngày 15 tháng 11 năm 2011 của Bộ Giáo dục và Đào tạo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8, Điều 9</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49/2008/QĐ-BGDĐT ngày 25 tháng 08 năm 2008 của Bộ Giáo dục và Đào tạo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8</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24/2010/TT-BGDĐT ngày 02 tháng 8 năm 2010 của Bộ Giáo dục và Đào tạo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7, Điều 10</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06/2012/TT-BGDĐT ngày 15 tháng 2 năm 2012 của Bộ Giáo dục và Đào tạo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8</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41/2008/QĐ/BGDĐT ngày 25 tháng 07 năm 2008 của Bộ Giáo dục và Đào tạo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6, Điều 14, Điều 15, Điều 22, Điều 29</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21/2012/TT-BGDĐT ngày 15 tháng 6 năm 2012 của Bộ Giáo dục và Đào tạo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7</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17/2012/TT-BGDĐT ngày 16 tháng 5 năm 2012 của Bộ Giáo dục và Đào tạo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 Điều 6, Điều 7, Điều 8, Điều 9, Điều 10</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 Nông nghiệp và Phát triển nông thôn</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02/2006/TT-BTS ngày 20 tháng 3 năm 2006 của Bộ Thủy sản và Thông tư 62/2008/TT-BNN ngày 20 tháng 5 năm 2008 của Bộ Nông Nghiệp và Phát triển nông thôn sửa đổi, bổ sung Thông tư 02/2006/TT-BNN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Mục II Điều 2, Điều 3; Mục III Điều 1, Điều 3, Điều 4, Điều 5, Điều 6, Điều 7, Điều 8</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51/2009/TT-BNNPTNT ngày 21 tháng 8 năm 2009 của Bộ Nông Nghiệp và Phát triển nông thôn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4, Điều 5, Điều 6, Điều 7, Điều 8, Điều 9</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37/2006/TT-BNN ngày 16 tháng 05 năm 2006 của Bộ Nông Nghiệp và Phát triển nông thôn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Mục II</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26/2013/TT-BNNPTNT ngày 22 </w:t>
            </w:r>
            <w:r w:rsidRPr="001E57A3">
              <w:rPr>
                <w:rFonts w:ascii="Times New Roman" w:hAnsi="Times New Roman" w:cs="Times New Roman"/>
                <w:sz w:val="26"/>
                <w:szCs w:val="26"/>
              </w:rPr>
              <w:lastRenderedPageBreak/>
              <w:t>tháng 5 năm 2013 của Bộ Nông Nghiệp và Phát triển nông thôn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lastRenderedPageBreak/>
              <w:t>Điều 11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66/2011/TT-BNNPTNT ngày 10 tháng 10 năm 2011 của Bộ Nông Nghiệp và Phát triển nông thôn và Thông tư 50/2014/TT-NNPTNT ngày 24 tháng 12 năm 2014 của Bộ Nông Nghiệp và Phát triển nông thôn sửa đổi Thông tư 66/2011/TT-BNNPTNT</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4, Điều 6, Điều 25 Khoản 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47/2012/TT-BNNPTNT ngày 25 tháng 9 năm 2012 của Bộ Nông Nghiệp và Phát triển nông thôn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7</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14/2013/TT-BNNPTNT ngày 25 tháng 2 năm 2013 của Bộ Nông Nghiệp và Phát triển nông thôn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4, Điều 5, Điều 6, Điều 7, Điều 8, Điều 9, Điều 10, Điều 11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03/2013/TT-BNNPTNT ngày 11 tháng 01 năm 2013 của Bộ Nông Nghiệp và Phát triển nông thôn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24, Điều 26, Điều 27, Điều 31, Điều 32, Điều 37, Điều 38, Điều 51, Điều 7 Khoản 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05/2015/TT-BNNPTNT ngày 12 tháng 02 năm 2015 của Bộ Nông Nghiệp và Phát triển nông thôn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Điều 7</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41/2014/TT-BNNPTNT ngày 13 tháng 11 năm 2014 của Bộ Nông Nghiệp và Phát triển nông thôn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04/2015/TT-BNNPTNT ngày 12 tháng 02 năm 2015 của Bộ Nông Nghiệp và Phát triển nông thôn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7, Điều 8, Điều 10, Điều 11, Điều 13, Điều 14, Điều 16, Điều 17</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49/2014/TT-BNNPTNT ngày 23 tháng 12 năm 2014 của Bộ Nông Nghiệp và Phát triển nông thôn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 Kế hoạch và Đầu tư</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10/2010/TT-BKH ngày 13 tháng 05 năm 2010 của Bộ Kế hoạch và Đầu tư</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tabs>
                <w:tab w:val="left" w:pos="3150"/>
              </w:tabs>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23/2010/TT-BKH ngày  13 tháng 12 năm 2010 của Bộ Kế hoạch và Đầu tư</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Điều 5, Điều 6, Điều 7, Điều 8</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 Y tế</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41/2011/TT-BYT  ngày 14 tháng </w:t>
            </w:r>
            <w:r w:rsidRPr="001E57A3">
              <w:rPr>
                <w:rFonts w:ascii="Times New Roman" w:hAnsi="Times New Roman" w:cs="Times New Roman"/>
                <w:sz w:val="26"/>
                <w:szCs w:val="26"/>
              </w:rPr>
              <w:lastRenderedPageBreak/>
              <w:t>11 năm 2011 của Bộ Y tế</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lastRenderedPageBreak/>
              <w:t xml:space="preserve">Điều 23, Điều 24, Điều 25, Điều 26, </w:t>
            </w:r>
            <w:r w:rsidRPr="001E57A3">
              <w:rPr>
                <w:rFonts w:ascii="Times New Roman" w:hAnsi="Times New Roman" w:cs="Times New Roman"/>
                <w:sz w:val="26"/>
                <w:szCs w:val="26"/>
              </w:rPr>
              <w:lastRenderedPageBreak/>
              <w:t>Điều 27, Điều 28, Điều 29, Điều 30, Điều 31, Điều 32, Điều 33, Điều 34, Điều 35, Điều 36, Điều 37</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14/2013/TT-BYT ngày 06 tháng 05 năm 2013 của Bộ Y tế</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9, Điều 10, Điều 11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15/2013/TT-BYT ngày 24 tháng 5 năm 2013 của Bộ Y tế và Thông tư 42/2013/TT-BYT  ngày 29 tháng 12 năm 2013 của Bộ Y tế sửa đổi Thông tư 15/2013/TT-BYT</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Điều 5, Điều 6, Điều 7, Điều 8, Điều 9, Điều 10, Điều 11, Điều 12, Điều 13, Điều 14, Điều 15, Điều 16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03/2008/QĐ-BYT ngày 01 tháng 02 năm 2008 của Bộ Y tế</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Mục II</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tabs>
                <w:tab w:val="right" w:pos="4284"/>
              </w:tabs>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07/2003/TT-BYT  ngày 28 tháng 5 năm 2003 của Bộ Y tế</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6, Điều 7, Điều 8, Điều 9</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02/2007/TT-BYT ngày 24 tháng 01 năm 2007 của Bộ Y tế</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Mục II Điều 5, 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tabs>
                <w:tab w:val="left" w:pos="3105"/>
              </w:tabs>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12/2014/TT-BYT  ngày 20 tháng 03 năm 2014 của Bộ Y tế</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Điều 5, 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12/2013/TT-BYT ngày 12 tháng 4 năm 2013 của Bộ Y tế</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5, Điều 6, Điều 7, Điều 8</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03/2012/TT-BYT ngày 02 tháng 02 năm 2012 của Bộ Y tế</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9, Điều 11, Điều 12, Điều 13</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15/2012/TT-BYT ngày 12 tháng 9 năm 2012 của Bộ Y tế</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 Điều 2, Điều 3, Điều 4, Điều 5, Điều 6, Điều 7, Điều 8</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02/2014/TT-BYT ngày 15 tháng 01 năm 2014 của Bộ Y tế</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2</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 Khoa học và Công nghệ</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04/2012/TT-BKHCN ngày 13 tháng 02 năm 2012 Bộ Khoa học và Công nghệ</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 Khoản 2, 3, 7, 8</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08/2010/TT-BKHCN ngày 22 tháng 07 năm 2010 Bộ Khoa học và Công nghệ</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7</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26/2007/QĐ-BKHCN ngày 31 tháng 10 năm 2007 Bộ Khoa học và Công nghệ</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08/2009/TT-BKHCN ngày 08 </w:t>
            </w:r>
            <w:r w:rsidRPr="001E57A3">
              <w:rPr>
                <w:rFonts w:ascii="Times New Roman" w:hAnsi="Times New Roman" w:cs="Times New Roman"/>
                <w:sz w:val="26"/>
                <w:szCs w:val="26"/>
              </w:rPr>
              <w:lastRenderedPageBreak/>
              <w:t>tháng 04 năm 2009 Bộ Khoa học và Công nghệ và Thông tư 10/2011/TT-BKHCN ngày 30 tháng 06 năm 2011 Bộ Khoa học và Công nghệ sửa đổi Thông tư 08/2009/TT-BKHCN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lastRenderedPageBreak/>
              <w:t>Mục II</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24/2013/TT-BKHCN ngày 30 tháng 9 năm 2013 Bộ Khoa học và Công nghệ</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31/2011/TT-BKHCN ngày 15 tháng 11 năm 2011 Bộ Khoa học và Công nghệ</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 Điều 6, Điều 8, Điều 9</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1/2007/TT-BKHCN ngày 29 tháng 02 năm 2012 Bộ Khoa học và Công nghệ</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53</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12/2010/TT-BKHCN ngày 30 tháng 7 năm 2010 Bộ Khoa học và Công nghệ</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11</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w:t>
            </w:r>
            <w:r w:rsidR="0018505D" w:rsidRPr="001E57A3">
              <w:rPr>
                <w:rFonts w:ascii="Times New Roman" w:hAnsi="Times New Roman" w:cs="Times New Roman"/>
                <w:b/>
                <w:sz w:val="26"/>
                <w:szCs w:val="26"/>
              </w:rPr>
              <w:t xml:space="preserve"> Văn hóa, T</w:t>
            </w:r>
            <w:r w:rsidRPr="001E57A3">
              <w:rPr>
                <w:rFonts w:ascii="Times New Roman" w:hAnsi="Times New Roman" w:cs="Times New Roman"/>
                <w:b/>
                <w:sz w:val="26"/>
                <w:szCs w:val="26"/>
              </w:rPr>
              <w:t>hể</w:t>
            </w:r>
            <w:r w:rsidR="0018505D" w:rsidRPr="001E57A3">
              <w:rPr>
                <w:rFonts w:ascii="Times New Roman" w:hAnsi="Times New Roman" w:cs="Times New Roman"/>
                <w:b/>
                <w:sz w:val="26"/>
                <w:szCs w:val="26"/>
              </w:rPr>
              <w:t xml:space="preserve"> thao và D</w:t>
            </w:r>
            <w:r w:rsidRPr="001E57A3">
              <w:rPr>
                <w:rFonts w:ascii="Times New Roman" w:hAnsi="Times New Roman" w:cs="Times New Roman"/>
                <w:b/>
                <w:sz w:val="26"/>
                <w:szCs w:val="26"/>
              </w:rPr>
              <w:t>u lịch</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22/2011/TT-BVHTTDL ngày 30 tháng 12 năm 2011 của Bộ Văn hóa, thể thao và du lịch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18/2012/TT-BVHTTDL ngày 28 tháng 12 năm 2012 của Bộ Văn hóa, thể thao và du lịch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 Điều 6, Điều 7, Điều 8, Điều 9, Điều 10, Điều 11, Điều 12, Điều 13</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04/2009/TT-BVHTTDL ngày 16 tháng 12 năm 2009 của Bộ Văn hóa, thể thao và du lịch và Thông tư 05/2012/TT-BVHTTDL  ngày 02 tháng 5 năm 2012 của Bộ Văn hóa, thể thao và du lịch sửa đổi, bổ sung Thông tư 04/2009/TT-BVHTTDL</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7, Điều 10, Điều 12, Điều 14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89/2008/TT-BVHTTDL ngày 30 tháng 12 năm 2008 của Bộ Văn hóa, thể thao và du lịch và Thông tư 07/2011/TT-BVHTTDL ngày 07 tháng 06 năm 2011 của Bộ Văn hóa, thể thao và du lịch sửa đổi, bổ sung Thông tư 89/2008/TT-BVHTTDL </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Mục III Điều 4, 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05/2007/TT-UBTDTT ngày 20 tháng 07 năm 2007 của Ủy ban Thể dục thể thao</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Mục II Điều 1, Mục III Điều 1, Điều 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03/2013/TT-BVHTTDL ngày 28 tháng 01 năm 2013 của Bộ Văn hóa, thể thao và du lịch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 Điều 6, Điều 8, Điều 10</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04/2013/TT-BVHTTDL ngày 03 tháng 05 năm 2013 của Bộ Văn hóa, thể thao và du lịch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 Tài nguyên và Môi trường</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35/2014/TT-BTNMT ngày 30 tháng 06 năm 2014 của Bộ Tài nguyên và môi trường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34/2014/TT-BTNMT ngày 30 tháng 06 năm 2014 của Bộ Tài nguyên và môi trường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20, Điều 22, Điều 23</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32/2010/TT-BTNMT ngày 08 tháng 12 năm 2010 của Bộ Tài nguyên và môi trường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40/2014/TT-BTNMT ngày 11 tháng 07 năm 2014 của Bộ Tài nguyên và môi trường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56/2014/TT-BTNMT ngày 24 tháng 09 năm 2014 của Bộ Tài nguyên và môi trường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27/2014/TT-BTNMT ngày 30 tháng 05 năm 2014 của Bộ Tài nguyên và môi trường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17/2012/TT-BTNMT  ngày 29 tháng 11 năm 2012 của Bộ Tài nguyên và môi trường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2, Điều 4, Điều 5, Điều 6</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12/2011/TT-BTNMT ngày 14 tháng 4 năm 2011 của Bộ Tài nguyên và môi trường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9, Điều 10, Điều 11, Điều 12, Điều 13, Điều 14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19/2010/TT-BTNMT ngày 12 tháng 10 năm 2010 của Bộ Tài nguyên và môi trường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11, Điều 12</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Ngân hàng nhà nước</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40/2011/TT-NHNN ngày 15 tháng 12 năm 2011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9, Điều 10, Điều 11, Điều 12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36/2014/TT-NHNN ngày 20 tháng 11 năm 2014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18, Điều 19</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01/2015/TT-NHNN ngày 06 tháng 01 năm 2015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Điều 11, Điều 12, Điều 16, Điều 17, Điều 18</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40/2007/QĐ-NHNN ngày 02 tháng 11 năm 2007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8</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06/2002/TT-NHNN ngày 23 tháng 12 năm 2002 của Ngân hàng Nhà nước và Thông tư 24/2011/TT-NHNN ngày 31 tháng 08 năm 2011 của Ngân hàng Nhà nước sửa đổi bổ sung Thông tư 06/2002/TT-NHNN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Khoản 7.1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06/2005/TT-NHNN ngày 12 tháng 10 năm 2005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Mục II</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31/2012/TT-NHNN ngày 26 tháng 11 năm 2012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8, Điều 23, Điều 24, Điều 25, Điều 34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04/2015/TT-NHNN ngày 31 tháng 03 năm 2015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10, Điều 20, Điều 23, Điều 24, Điều 31</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02/2008/TT-NHNN ngày 02 tháng 4 năm 2008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Mục II Khoản 9, 15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39/2014/TT-NHNN ngày 11 tháng 12 năm 2014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Khoản 2</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 xml:space="preserve">Thông tư 16/2010/TT-NHNN ngày 25 tháng 6 năm 2010 của Ngân hàng Nhà nước và Thông tư 27/2014/TT-NHNN </w:t>
            </w:r>
            <w:r w:rsidRPr="001E57A3">
              <w:rPr>
                <w:rFonts w:ascii="Times New Roman" w:hAnsi="Times New Roman" w:cs="Times New Roman"/>
                <w:sz w:val="26"/>
                <w:szCs w:val="26"/>
              </w:rPr>
              <w:lastRenderedPageBreak/>
              <w:t>ngày 18 tháng 09 năm 2014 của Ngân hàng Nhà nước sửa đổi Thông tư 16/2010/TT-NHNN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lastRenderedPageBreak/>
              <w:t>Điều 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21/2014/TT-NHNN ngày 14 tháng 08 năm 2014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8, Điều 9, Điều 10, Điều 16, Điều 17, Điều 18, Điều 24, Điều 25, Điều 26, Điều 29, Điều 30</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25/2011/TT-NHNN ngày 31 tháng 08 năm 2011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12 Khoản 2, Điều 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Quyết định 21/2008/QĐ-NHNN ngày 11 tháng 07 năm 2008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4, Điều 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16/2012/TT-NHNN ngày 25 tháng 05 năm 2012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4, Điều 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18/2014/TT-NHNN ngày 01 tháng 08 năm 2014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34/2014/TT-NHNN ngày 20 tháng 11 năm 2014 của Ngân hàng nhà nước</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Bộ Quốc phòng</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18/2014/TT-BQP ngày 17 tháng 04 năm 2014 của Bộ Quốc Phòng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22, Điều 23, Điều 24, Điều 25, Điều 26</w:t>
            </w:r>
          </w:p>
        </w:tc>
      </w:tr>
      <w:tr w:rsidR="00D517C8" w:rsidRPr="001E57A3" w:rsidTr="001E57A3">
        <w:tc>
          <w:tcPr>
            <w:tcW w:w="817" w:type="dxa"/>
          </w:tcPr>
          <w:p w:rsidR="00D517C8" w:rsidRPr="001E57A3" w:rsidRDefault="00D517C8" w:rsidP="001E57A3">
            <w:pPr>
              <w:pStyle w:val="ListParagraph"/>
              <w:spacing w:line="276" w:lineRule="auto"/>
              <w:rPr>
                <w:rFonts w:ascii="Times New Roman" w:hAnsi="Times New Roman" w:cs="Times New Roman"/>
                <w:sz w:val="26"/>
                <w:szCs w:val="26"/>
              </w:rPr>
            </w:pPr>
          </w:p>
        </w:tc>
        <w:tc>
          <w:tcPr>
            <w:tcW w:w="8930" w:type="dxa"/>
            <w:gridSpan w:val="2"/>
          </w:tcPr>
          <w:p w:rsidR="00D517C8" w:rsidRPr="001E57A3" w:rsidRDefault="00D517C8" w:rsidP="001E57A3">
            <w:pPr>
              <w:spacing w:line="276" w:lineRule="auto"/>
              <w:rPr>
                <w:rFonts w:ascii="Times New Roman" w:hAnsi="Times New Roman" w:cs="Times New Roman"/>
                <w:b/>
                <w:sz w:val="26"/>
                <w:szCs w:val="26"/>
              </w:rPr>
            </w:pPr>
            <w:r w:rsidRPr="001E57A3">
              <w:rPr>
                <w:rFonts w:ascii="Times New Roman" w:hAnsi="Times New Roman" w:cs="Times New Roman"/>
                <w:b/>
                <w:sz w:val="26"/>
                <w:szCs w:val="26"/>
              </w:rPr>
              <w:t>Thông tư liên tịch</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43/2011/TTLT-BLDTBXH-BYT ngày 31 tháng 12 năm 2011 của Bộ Lao động- Thương binh và xã hội và Bộ Y tế</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3, Điều 4, Điều 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liên tịch 09/2014/TTLT-BTP- TANDTC-VKSNDTC-BTC ngày 28 tháng 02 năm 2014 của Bộ Tư pháp, Tòa án nhân dân tối cao, Viện kiểm sát nhân dân tối cao và Bộ Tài chính</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18</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liên tịch 34/2012/TTLT-BCT-BTNMT ngày 15 tháng 11 năm 2012 của Bộ Công thương và Bộ Tài nguyên và môi trường</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4, Điều 5</w:t>
            </w:r>
          </w:p>
        </w:tc>
      </w:tr>
      <w:tr w:rsidR="00D517C8" w:rsidRPr="001E57A3" w:rsidTr="001E57A3">
        <w:tc>
          <w:tcPr>
            <w:tcW w:w="817" w:type="dxa"/>
          </w:tcPr>
          <w:p w:rsidR="00D517C8" w:rsidRPr="001E57A3" w:rsidRDefault="00D517C8" w:rsidP="001E57A3">
            <w:pPr>
              <w:pStyle w:val="ListParagraph"/>
              <w:numPr>
                <w:ilvl w:val="0"/>
                <w:numId w:val="2"/>
              </w:numPr>
              <w:spacing w:line="276" w:lineRule="auto"/>
              <w:rPr>
                <w:rFonts w:ascii="Times New Roman" w:hAnsi="Times New Roman" w:cs="Times New Roman"/>
                <w:sz w:val="26"/>
                <w:szCs w:val="26"/>
              </w:rPr>
            </w:pPr>
          </w:p>
        </w:tc>
        <w:tc>
          <w:tcPr>
            <w:tcW w:w="4758"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Thông tư liên tịch 06/2013/TTLT-BKHCN-BCT-BGTVT-BCA Hà Nội, ngày 28 tháng 02 năm 2013 của Bộ Khoa học và Công nghệ, Bộ Công thương, Bộ Giao thông vận tải và Bộ Công an</w:t>
            </w:r>
          </w:p>
        </w:tc>
        <w:tc>
          <w:tcPr>
            <w:tcW w:w="4172" w:type="dxa"/>
          </w:tcPr>
          <w:p w:rsidR="00D517C8" w:rsidRPr="001E57A3" w:rsidRDefault="00D517C8" w:rsidP="001E57A3">
            <w:pPr>
              <w:spacing w:line="276" w:lineRule="auto"/>
              <w:rPr>
                <w:rFonts w:ascii="Times New Roman" w:hAnsi="Times New Roman" w:cs="Times New Roman"/>
                <w:sz w:val="26"/>
                <w:szCs w:val="26"/>
              </w:rPr>
            </w:pPr>
            <w:r w:rsidRPr="001E57A3">
              <w:rPr>
                <w:rFonts w:ascii="Times New Roman" w:hAnsi="Times New Roman" w:cs="Times New Roman"/>
                <w:sz w:val="26"/>
                <w:szCs w:val="26"/>
              </w:rPr>
              <w:t>Điều 5, Điều 6, Điều 7</w:t>
            </w:r>
          </w:p>
        </w:tc>
      </w:tr>
    </w:tbl>
    <w:p w:rsidR="004D33FC" w:rsidRPr="004D33FC" w:rsidRDefault="004D33FC" w:rsidP="004D33FC">
      <w:pPr>
        <w:rPr>
          <w:rFonts w:ascii="Times New Roman" w:hAnsi="Times New Roman" w:cs="Times New Roman"/>
          <w:sz w:val="24"/>
          <w:szCs w:val="24"/>
        </w:rPr>
      </w:pPr>
    </w:p>
    <w:p w:rsidR="004D33FC" w:rsidRPr="004D33FC" w:rsidRDefault="004D33FC" w:rsidP="004D33FC">
      <w:pPr>
        <w:rPr>
          <w:rFonts w:ascii="Times New Roman" w:hAnsi="Times New Roman" w:cs="Times New Roman"/>
          <w:sz w:val="24"/>
          <w:szCs w:val="24"/>
        </w:rPr>
      </w:pPr>
    </w:p>
    <w:sectPr w:rsidR="004D33FC" w:rsidRPr="004D33FC" w:rsidSect="0079641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B07" w:rsidRDefault="00187B07" w:rsidP="006B15AE">
      <w:pPr>
        <w:spacing w:after="0" w:line="240" w:lineRule="auto"/>
      </w:pPr>
      <w:r>
        <w:separator/>
      </w:r>
    </w:p>
  </w:endnote>
  <w:endnote w:type="continuationSeparator" w:id="1">
    <w:p w:rsidR="00187B07" w:rsidRDefault="00187B07" w:rsidP="006B1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535"/>
      <w:docPartObj>
        <w:docPartGallery w:val="Page Numbers (Bottom of Page)"/>
        <w:docPartUnique/>
      </w:docPartObj>
    </w:sdtPr>
    <w:sdtContent>
      <w:p w:rsidR="0014246A" w:rsidRDefault="0014246A">
        <w:pPr>
          <w:pStyle w:val="Footer"/>
          <w:jc w:val="right"/>
        </w:pPr>
        <w:fldSimple w:instr=" PAGE   \* MERGEFORMAT ">
          <w:r>
            <w:rPr>
              <w:noProof/>
            </w:rPr>
            <w:t>2</w:t>
          </w:r>
        </w:fldSimple>
      </w:p>
    </w:sdtContent>
  </w:sdt>
  <w:p w:rsidR="0014246A" w:rsidRDefault="00142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B07" w:rsidRDefault="00187B07" w:rsidP="006B15AE">
      <w:pPr>
        <w:spacing w:after="0" w:line="240" w:lineRule="auto"/>
      </w:pPr>
      <w:r>
        <w:separator/>
      </w:r>
    </w:p>
  </w:footnote>
  <w:footnote w:type="continuationSeparator" w:id="1">
    <w:p w:rsidR="00187B07" w:rsidRDefault="00187B07" w:rsidP="006B15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761DC"/>
    <w:multiLevelType w:val="hybridMultilevel"/>
    <w:tmpl w:val="134A7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5220D9"/>
    <w:multiLevelType w:val="hybridMultilevel"/>
    <w:tmpl w:val="C8947C3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B15AE"/>
    <w:rsid w:val="00013A5E"/>
    <w:rsid w:val="00027091"/>
    <w:rsid w:val="0003015E"/>
    <w:rsid w:val="0003410E"/>
    <w:rsid w:val="00041BE4"/>
    <w:rsid w:val="000626F9"/>
    <w:rsid w:val="000866B2"/>
    <w:rsid w:val="000920C9"/>
    <w:rsid w:val="000A318E"/>
    <w:rsid w:val="000B114F"/>
    <w:rsid w:val="000C6CD1"/>
    <w:rsid w:val="000E28ED"/>
    <w:rsid w:val="000F18E3"/>
    <w:rsid w:val="000F3EC0"/>
    <w:rsid w:val="000F4312"/>
    <w:rsid w:val="000F457A"/>
    <w:rsid w:val="00102E10"/>
    <w:rsid w:val="00140849"/>
    <w:rsid w:val="0014246A"/>
    <w:rsid w:val="0015193F"/>
    <w:rsid w:val="0018294A"/>
    <w:rsid w:val="0018505D"/>
    <w:rsid w:val="00186A98"/>
    <w:rsid w:val="00187B07"/>
    <w:rsid w:val="00190BE0"/>
    <w:rsid w:val="001A0032"/>
    <w:rsid w:val="001A7E0B"/>
    <w:rsid w:val="001C0F6E"/>
    <w:rsid w:val="001C102A"/>
    <w:rsid w:val="001C4115"/>
    <w:rsid w:val="001D6301"/>
    <w:rsid w:val="001D7522"/>
    <w:rsid w:val="001E57A3"/>
    <w:rsid w:val="001E5887"/>
    <w:rsid w:val="001F3F01"/>
    <w:rsid w:val="001F4BAF"/>
    <w:rsid w:val="001F6798"/>
    <w:rsid w:val="002029EA"/>
    <w:rsid w:val="00203C4B"/>
    <w:rsid w:val="00207CD3"/>
    <w:rsid w:val="002130DC"/>
    <w:rsid w:val="00213D8F"/>
    <w:rsid w:val="00224B74"/>
    <w:rsid w:val="002259F7"/>
    <w:rsid w:val="00232CDF"/>
    <w:rsid w:val="0024315D"/>
    <w:rsid w:val="00243358"/>
    <w:rsid w:val="002439FA"/>
    <w:rsid w:val="00244DBB"/>
    <w:rsid w:val="00246D8F"/>
    <w:rsid w:val="00250ED5"/>
    <w:rsid w:val="00252742"/>
    <w:rsid w:val="00274E7A"/>
    <w:rsid w:val="00297121"/>
    <w:rsid w:val="00297C7A"/>
    <w:rsid w:val="002C0AC4"/>
    <w:rsid w:val="002C4FA0"/>
    <w:rsid w:val="002C71EA"/>
    <w:rsid w:val="002D0A8D"/>
    <w:rsid w:val="002D63A8"/>
    <w:rsid w:val="002D6BE4"/>
    <w:rsid w:val="002F0A61"/>
    <w:rsid w:val="00306B6E"/>
    <w:rsid w:val="003070C0"/>
    <w:rsid w:val="0031314B"/>
    <w:rsid w:val="003154CE"/>
    <w:rsid w:val="00326895"/>
    <w:rsid w:val="003277EB"/>
    <w:rsid w:val="0033350A"/>
    <w:rsid w:val="00347283"/>
    <w:rsid w:val="00356E19"/>
    <w:rsid w:val="00357764"/>
    <w:rsid w:val="00357CE7"/>
    <w:rsid w:val="00373B25"/>
    <w:rsid w:val="00374ACC"/>
    <w:rsid w:val="00387A52"/>
    <w:rsid w:val="00391C31"/>
    <w:rsid w:val="003965C3"/>
    <w:rsid w:val="003A3C5F"/>
    <w:rsid w:val="003A7A9E"/>
    <w:rsid w:val="003B60A0"/>
    <w:rsid w:val="003C3D55"/>
    <w:rsid w:val="003F0AC9"/>
    <w:rsid w:val="003F1539"/>
    <w:rsid w:val="0040280D"/>
    <w:rsid w:val="004031B9"/>
    <w:rsid w:val="00410192"/>
    <w:rsid w:val="0041224D"/>
    <w:rsid w:val="0042002B"/>
    <w:rsid w:val="00422361"/>
    <w:rsid w:val="0042565B"/>
    <w:rsid w:val="004272C3"/>
    <w:rsid w:val="004355BA"/>
    <w:rsid w:val="00440171"/>
    <w:rsid w:val="00442D27"/>
    <w:rsid w:val="0044544C"/>
    <w:rsid w:val="00451B32"/>
    <w:rsid w:val="004668B8"/>
    <w:rsid w:val="00467FA8"/>
    <w:rsid w:val="00475771"/>
    <w:rsid w:val="00475CF6"/>
    <w:rsid w:val="004820C5"/>
    <w:rsid w:val="00482B4A"/>
    <w:rsid w:val="00484626"/>
    <w:rsid w:val="004853E3"/>
    <w:rsid w:val="0049748A"/>
    <w:rsid w:val="004A2A32"/>
    <w:rsid w:val="004B0543"/>
    <w:rsid w:val="004C287C"/>
    <w:rsid w:val="004C2F44"/>
    <w:rsid w:val="004C519E"/>
    <w:rsid w:val="004D1DB7"/>
    <w:rsid w:val="004D33FC"/>
    <w:rsid w:val="004E2B36"/>
    <w:rsid w:val="00515C1D"/>
    <w:rsid w:val="00516DE8"/>
    <w:rsid w:val="00523C96"/>
    <w:rsid w:val="00527D4D"/>
    <w:rsid w:val="0053087A"/>
    <w:rsid w:val="00531F5B"/>
    <w:rsid w:val="00535205"/>
    <w:rsid w:val="0054723D"/>
    <w:rsid w:val="005506D7"/>
    <w:rsid w:val="00572448"/>
    <w:rsid w:val="0057324A"/>
    <w:rsid w:val="005851CB"/>
    <w:rsid w:val="005907D9"/>
    <w:rsid w:val="0059110B"/>
    <w:rsid w:val="00592399"/>
    <w:rsid w:val="005A091B"/>
    <w:rsid w:val="005A43A0"/>
    <w:rsid w:val="005C3E09"/>
    <w:rsid w:val="005D53B1"/>
    <w:rsid w:val="005E1BEF"/>
    <w:rsid w:val="005F0FD3"/>
    <w:rsid w:val="005F5C7D"/>
    <w:rsid w:val="00602C45"/>
    <w:rsid w:val="00611CEC"/>
    <w:rsid w:val="00620767"/>
    <w:rsid w:val="00623431"/>
    <w:rsid w:val="00636A0A"/>
    <w:rsid w:val="0064528F"/>
    <w:rsid w:val="00673B1E"/>
    <w:rsid w:val="0069030F"/>
    <w:rsid w:val="006944C6"/>
    <w:rsid w:val="006B15AE"/>
    <w:rsid w:val="006B2484"/>
    <w:rsid w:val="006B2600"/>
    <w:rsid w:val="006C28B1"/>
    <w:rsid w:val="006D7886"/>
    <w:rsid w:val="006F47CF"/>
    <w:rsid w:val="00707D32"/>
    <w:rsid w:val="0071155B"/>
    <w:rsid w:val="00717823"/>
    <w:rsid w:val="00724F60"/>
    <w:rsid w:val="00741981"/>
    <w:rsid w:val="00762BFD"/>
    <w:rsid w:val="007646D2"/>
    <w:rsid w:val="00764EBA"/>
    <w:rsid w:val="007704EC"/>
    <w:rsid w:val="00774B02"/>
    <w:rsid w:val="00781B59"/>
    <w:rsid w:val="00782F95"/>
    <w:rsid w:val="007900E0"/>
    <w:rsid w:val="00795766"/>
    <w:rsid w:val="0079641C"/>
    <w:rsid w:val="007A036C"/>
    <w:rsid w:val="007A5464"/>
    <w:rsid w:val="007A6488"/>
    <w:rsid w:val="007A7306"/>
    <w:rsid w:val="007B00B5"/>
    <w:rsid w:val="007B0194"/>
    <w:rsid w:val="007C0824"/>
    <w:rsid w:val="007C2864"/>
    <w:rsid w:val="007C485A"/>
    <w:rsid w:val="007C4C19"/>
    <w:rsid w:val="007C7CEE"/>
    <w:rsid w:val="007C7E0D"/>
    <w:rsid w:val="007D2F4D"/>
    <w:rsid w:val="007D7B9A"/>
    <w:rsid w:val="008008DA"/>
    <w:rsid w:val="008044B7"/>
    <w:rsid w:val="00817678"/>
    <w:rsid w:val="00826DBD"/>
    <w:rsid w:val="00830915"/>
    <w:rsid w:val="00831752"/>
    <w:rsid w:val="00832F4B"/>
    <w:rsid w:val="00833F79"/>
    <w:rsid w:val="00840C1C"/>
    <w:rsid w:val="0085159B"/>
    <w:rsid w:val="008525AC"/>
    <w:rsid w:val="0088245D"/>
    <w:rsid w:val="008871B0"/>
    <w:rsid w:val="00896B45"/>
    <w:rsid w:val="008A34C5"/>
    <w:rsid w:val="008B204A"/>
    <w:rsid w:val="008D33E3"/>
    <w:rsid w:val="008D69B6"/>
    <w:rsid w:val="008E6634"/>
    <w:rsid w:val="008E7E03"/>
    <w:rsid w:val="008F0405"/>
    <w:rsid w:val="008F2141"/>
    <w:rsid w:val="008F29F4"/>
    <w:rsid w:val="008F43EB"/>
    <w:rsid w:val="008F4F02"/>
    <w:rsid w:val="00906769"/>
    <w:rsid w:val="009104DC"/>
    <w:rsid w:val="00913750"/>
    <w:rsid w:val="00915FEF"/>
    <w:rsid w:val="00921490"/>
    <w:rsid w:val="00931D9C"/>
    <w:rsid w:val="00936D3A"/>
    <w:rsid w:val="009419EC"/>
    <w:rsid w:val="009435E9"/>
    <w:rsid w:val="00951496"/>
    <w:rsid w:val="00956EA9"/>
    <w:rsid w:val="009572EE"/>
    <w:rsid w:val="00960FD7"/>
    <w:rsid w:val="00963240"/>
    <w:rsid w:val="00986419"/>
    <w:rsid w:val="00986CA1"/>
    <w:rsid w:val="0099463D"/>
    <w:rsid w:val="0099558F"/>
    <w:rsid w:val="009A1B34"/>
    <w:rsid w:val="009A205E"/>
    <w:rsid w:val="009A3D39"/>
    <w:rsid w:val="009A62A1"/>
    <w:rsid w:val="009A78A3"/>
    <w:rsid w:val="009B56D6"/>
    <w:rsid w:val="009B6664"/>
    <w:rsid w:val="009C37F6"/>
    <w:rsid w:val="009C4498"/>
    <w:rsid w:val="009C5606"/>
    <w:rsid w:val="009D56DE"/>
    <w:rsid w:val="009D6553"/>
    <w:rsid w:val="009E1D0C"/>
    <w:rsid w:val="009E2B71"/>
    <w:rsid w:val="009E4895"/>
    <w:rsid w:val="009E4CDB"/>
    <w:rsid w:val="009E710B"/>
    <w:rsid w:val="00A10296"/>
    <w:rsid w:val="00A1360A"/>
    <w:rsid w:val="00A14F87"/>
    <w:rsid w:val="00A17D52"/>
    <w:rsid w:val="00A21A6B"/>
    <w:rsid w:val="00A270BB"/>
    <w:rsid w:val="00A3716D"/>
    <w:rsid w:val="00A51644"/>
    <w:rsid w:val="00A653D1"/>
    <w:rsid w:val="00A65532"/>
    <w:rsid w:val="00A7333A"/>
    <w:rsid w:val="00A767BE"/>
    <w:rsid w:val="00A963CA"/>
    <w:rsid w:val="00AA5163"/>
    <w:rsid w:val="00AA7BFB"/>
    <w:rsid w:val="00AA7E80"/>
    <w:rsid w:val="00AB0D62"/>
    <w:rsid w:val="00AC129A"/>
    <w:rsid w:val="00AD0FB1"/>
    <w:rsid w:val="00AD42F3"/>
    <w:rsid w:val="00AD441A"/>
    <w:rsid w:val="00AD78C0"/>
    <w:rsid w:val="00AE33E5"/>
    <w:rsid w:val="00AE6A34"/>
    <w:rsid w:val="00AE76CF"/>
    <w:rsid w:val="00AF115C"/>
    <w:rsid w:val="00AF310E"/>
    <w:rsid w:val="00AF42D5"/>
    <w:rsid w:val="00B120FA"/>
    <w:rsid w:val="00B122EE"/>
    <w:rsid w:val="00B16ABA"/>
    <w:rsid w:val="00B22A25"/>
    <w:rsid w:val="00B41FD8"/>
    <w:rsid w:val="00B52E8F"/>
    <w:rsid w:val="00B55550"/>
    <w:rsid w:val="00B765EC"/>
    <w:rsid w:val="00B80FA6"/>
    <w:rsid w:val="00B83DE1"/>
    <w:rsid w:val="00BA1C34"/>
    <w:rsid w:val="00BB0553"/>
    <w:rsid w:val="00BC3BE6"/>
    <w:rsid w:val="00BC5BED"/>
    <w:rsid w:val="00BC5F19"/>
    <w:rsid w:val="00BC6EA6"/>
    <w:rsid w:val="00BF6BAA"/>
    <w:rsid w:val="00C06DDA"/>
    <w:rsid w:val="00C127AD"/>
    <w:rsid w:val="00C130FB"/>
    <w:rsid w:val="00C26CC5"/>
    <w:rsid w:val="00C50E56"/>
    <w:rsid w:val="00C57FF5"/>
    <w:rsid w:val="00C6227D"/>
    <w:rsid w:val="00C82B6B"/>
    <w:rsid w:val="00C91F68"/>
    <w:rsid w:val="00CA1BD9"/>
    <w:rsid w:val="00CA4C0A"/>
    <w:rsid w:val="00CA4EFE"/>
    <w:rsid w:val="00CA670C"/>
    <w:rsid w:val="00CB1571"/>
    <w:rsid w:val="00CB2560"/>
    <w:rsid w:val="00CB6872"/>
    <w:rsid w:val="00CC3FBE"/>
    <w:rsid w:val="00CD05B2"/>
    <w:rsid w:val="00CD0720"/>
    <w:rsid w:val="00CD1551"/>
    <w:rsid w:val="00CD2DE4"/>
    <w:rsid w:val="00CD5C3C"/>
    <w:rsid w:val="00CE5284"/>
    <w:rsid w:val="00CE7B2D"/>
    <w:rsid w:val="00D05294"/>
    <w:rsid w:val="00D117B0"/>
    <w:rsid w:val="00D1294F"/>
    <w:rsid w:val="00D25BD5"/>
    <w:rsid w:val="00D26BD4"/>
    <w:rsid w:val="00D31A7F"/>
    <w:rsid w:val="00D32883"/>
    <w:rsid w:val="00D517C8"/>
    <w:rsid w:val="00D52F09"/>
    <w:rsid w:val="00D55B65"/>
    <w:rsid w:val="00D64D43"/>
    <w:rsid w:val="00D6647A"/>
    <w:rsid w:val="00D7080F"/>
    <w:rsid w:val="00D7275E"/>
    <w:rsid w:val="00D80813"/>
    <w:rsid w:val="00D82F03"/>
    <w:rsid w:val="00DA27D5"/>
    <w:rsid w:val="00DA2EFB"/>
    <w:rsid w:val="00DA63FC"/>
    <w:rsid w:val="00DB1997"/>
    <w:rsid w:val="00DB2CF6"/>
    <w:rsid w:val="00DC296F"/>
    <w:rsid w:val="00DC432C"/>
    <w:rsid w:val="00DC44F1"/>
    <w:rsid w:val="00DD0E53"/>
    <w:rsid w:val="00DD3A82"/>
    <w:rsid w:val="00DD3CBD"/>
    <w:rsid w:val="00DD7EE6"/>
    <w:rsid w:val="00DE0FB2"/>
    <w:rsid w:val="00DE4703"/>
    <w:rsid w:val="00DE52F5"/>
    <w:rsid w:val="00DF02BD"/>
    <w:rsid w:val="00DF4372"/>
    <w:rsid w:val="00DF6329"/>
    <w:rsid w:val="00E03BCD"/>
    <w:rsid w:val="00E15C8F"/>
    <w:rsid w:val="00E40F5C"/>
    <w:rsid w:val="00E527AF"/>
    <w:rsid w:val="00E52C21"/>
    <w:rsid w:val="00E7265C"/>
    <w:rsid w:val="00E865D8"/>
    <w:rsid w:val="00E94155"/>
    <w:rsid w:val="00E96ADC"/>
    <w:rsid w:val="00EA0EE8"/>
    <w:rsid w:val="00EA2244"/>
    <w:rsid w:val="00EA2ED0"/>
    <w:rsid w:val="00EA4F2B"/>
    <w:rsid w:val="00EA6ACC"/>
    <w:rsid w:val="00EB4A3B"/>
    <w:rsid w:val="00EB7456"/>
    <w:rsid w:val="00EC58EA"/>
    <w:rsid w:val="00ED276A"/>
    <w:rsid w:val="00ED2CFE"/>
    <w:rsid w:val="00ED7094"/>
    <w:rsid w:val="00ED7E18"/>
    <w:rsid w:val="00EE6499"/>
    <w:rsid w:val="00EF4D84"/>
    <w:rsid w:val="00F019BA"/>
    <w:rsid w:val="00F026B1"/>
    <w:rsid w:val="00F041B6"/>
    <w:rsid w:val="00F0664D"/>
    <w:rsid w:val="00F1624F"/>
    <w:rsid w:val="00F24283"/>
    <w:rsid w:val="00F247AF"/>
    <w:rsid w:val="00F2485D"/>
    <w:rsid w:val="00F32B75"/>
    <w:rsid w:val="00F35CA8"/>
    <w:rsid w:val="00F45417"/>
    <w:rsid w:val="00F51ED1"/>
    <w:rsid w:val="00F71D4D"/>
    <w:rsid w:val="00F7544D"/>
    <w:rsid w:val="00F818E9"/>
    <w:rsid w:val="00F91357"/>
    <w:rsid w:val="00FA2251"/>
    <w:rsid w:val="00FA5EB4"/>
    <w:rsid w:val="00FB0BD0"/>
    <w:rsid w:val="00FB5A18"/>
    <w:rsid w:val="00FB6E35"/>
    <w:rsid w:val="00FC5F3A"/>
    <w:rsid w:val="00FC648A"/>
    <w:rsid w:val="00FC7FB2"/>
    <w:rsid w:val="00FD4F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4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1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15AE"/>
    <w:pPr>
      <w:ind w:left="720"/>
      <w:contextualSpacing/>
    </w:pPr>
  </w:style>
  <w:style w:type="paragraph" w:styleId="FootnoteText">
    <w:name w:val="footnote text"/>
    <w:basedOn w:val="Normal"/>
    <w:link w:val="FootnoteTextChar"/>
    <w:uiPriority w:val="99"/>
    <w:semiHidden/>
    <w:unhideWhenUsed/>
    <w:rsid w:val="006B15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5AE"/>
    <w:rPr>
      <w:sz w:val="20"/>
      <w:szCs w:val="20"/>
    </w:rPr>
  </w:style>
  <w:style w:type="character" w:styleId="FootnoteReference">
    <w:name w:val="footnote reference"/>
    <w:basedOn w:val="DefaultParagraphFont"/>
    <w:uiPriority w:val="99"/>
    <w:semiHidden/>
    <w:unhideWhenUsed/>
    <w:rsid w:val="006B15AE"/>
    <w:rPr>
      <w:vertAlign w:val="superscript"/>
    </w:rPr>
  </w:style>
  <w:style w:type="character" w:styleId="Emphasis">
    <w:name w:val="Emphasis"/>
    <w:basedOn w:val="DefaultParagraphFont"/>
    <w:uiPriority w:val="20"/>
    <w:qFormat/>
    <w:rsid w:val="004272C3"/>
    <w:rPr>
      <w:i/>
      <w:iCs/>
    </w:rPr>
  </w:style>
  <w:style w:type="character" w:styleId="Strong">
    <w:name w:val="Strong"/>
    <w:basedOn w:val="DefaultParagraphFont"/>
    <w:uiPriority w:val="22"/>
    <w:qFormat/>
    <w:rsid w:val="00A653D1"/>
    <w:rPr>
      <w:b/>
      <w:bCs/>
    </w:rPr>
  </w:style>
  <w:style w:type="character" w:customStyle="1" w:styleId="apple-converted-space">
    <w:name w:val="apple-converted-space"/>
    <w:basedOn w:val="DefaultParagraphFont"/>
    <w:rsid w:val="002F0A61"/>
  </w:style>
  <w:style w:type="paragraph" w:styleId="Header">
    <w:name w:val="header"/>
    <w:basedOn w:val="Normal"/>
    <w:link w:val="HeaderChar"/>
    <w:uiPriority w:val="99"/>
    <w:semiHidden/>
    <w:unhideWhenUsed/>
    <w:rsid w:val="001424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246A"/>
  </w:style>
  <w:style w:type="paragraph" w:styleId="Footer">
    <w:name w:val="footer"/>
    <w:basedOn w:val="Normal"/>
    <w:link w:val="FooterChar"/>
    <w:uiPriority w:val="99"/>
    <w:unhideWhenUsed/>
    <w:rsid w:val="00142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46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 nguyen</dc:creator>
  <cp:lastModifiedBy>Yen</cp:lastModifiedBy>
  <cp:revision>4</cp:revision>
  <dcterms:created xsi:type="dcterms:W3CDTF">2015-07-21T08:38:00Z</dcterms:created>
  <dcterms:modified xsi:type="dcterms:W3CDTF">2015-07-21T08:39:00Z</dcterms:modified>
</cp:coreProperties>
</file>