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37D" w:rsidRPr="00E71364" w:rsidRDefault="005C5D5B" w:rsidP="005C37F2">
      <w:pPr>
        <w:spacing w:before="120" w:after="120" w:line="276" w:lineRule="auto"/>
        <w:jc w:val="center"/>
        <w:rPr>
          <w:rFonts w:ascii="Times New Roman" w:eastAsia="Times New Roman" w:hAnsi="Times New Roman" w:cs="Times New Roman"/>
          <w:b/>
          <w:kern w:val="36"/>
          <w:sz w:val="28"/>
          <w:szCs w:val="28"/>
          <w:lang w:eastAsia="vi-VN"/>
        </w:rPr>
      </w:pPr>
      <w:r w:rsidRPr="00E71364">
        <w:rPr>
          <w:rFonts w:ascii="Times New Roman" w:eastAsia="Times New Roman" w:hAnsi="Times New Roman" w:cs="Times New Roman"/>
          <w:b/>
          <w:kern w:val="36"/>
          <w:sz w:val="28"/>
          <w:szCs w:val="28"/>
          <w:highlight w:val="white"/>
          <w:lang w:eastAsia="vi-VN"/>
        </w:rPr>
        <w:t>NHỮNG ĐIỂM MỚI TRONG LUẬT DOANH NGHIỆP NHẰM NÂNG CAO QUẢN TRỊ CÔNG TY VÀ BẢO VỆ CỔ ĐÔNG THIỂU SỐ</w:t>
      </w:r>
    </w:p>
    <w:p w:rsidR="005C5D5B" w:rsidRPr="00D830DC" w:rsidRDefault="005C5D5B" w:rsidP="005C37F2">
      <w:pPr>
        <w:spacing w:before="120" w:after="120" w:line="276" w:lineRule="auto"/>
        <w:jc w:val="right"/>
        <w:rPr>
          <w:rFonts w:ascii="Times New Roman" w:eastAsia="Times New Roman" w:hAnsi="Times New Roman" w:cs="Times New Roman"/>
          <w:b/>
          <w:i/>
          <w:kern w:val="36"/>
          <w:sz w:val="28"/>
          <w:szCs w:val="28"/>
          <w:lang w:eastAsia="vi-VN"/>
        </w:rPr>
      </w:pPr>
      <w:r w:rsidRPr="00D830DC">
        <w:rPr>
          <w:rFonts w:ascii="Times New Roman" w:eastAsia="Times New Roman" w:hAnsi="Times New Roman" w:cs="Times New Roman"/>
          <w:b/>
          <w:i/>
          <w:kern w:val="36"/>
          <w:sz w:val="28"/>
          <w:szCs w:val="28"/>
          <w:lang w:eastAsia="vi-VN"/>
        </w:rPr>
        <w:t>Hoàng Thị Hải Yến</w:t>
      </w:r>
    </w:p>
    <w:p w:rsidR="00D830DC" w:rsidRPr="00D830DC" w:rsidRDefault="00D830DC" w:rsidP="005C37F2">
      <w:pPr>
        <w:spacing w:before="120" w:after="120" w:line="276" w:lineRule="auto"/>
        <w:jc w:val="right"/>
        <w:rPr>
          <w:rFonts w:ascii="Times New Roman" w:eastAsia="Times New Roman" w:hAnsi="Times New Roman" w:cs="Times New Roman"/>
          <w:b/>
          <w:i/>
          <w:kern w:val="36"/>
          <w:sz w:val="28"/>
          <w:szCs w:val="28"/>
          <w:lang w:eastAsia="vi-VN"/>
        </w:rPr>
      </w:pPr>
      <w:bookmarkStart w:id="0" w:name="_GoBack"/>
      <w:bookmarkEnd w:id="0"/>
      <w:r w:rsidRPr="00D830DC">
        <w:rPr>
          <w:rFonts w:ascii="Times New Roman" w:eastAsia="Times New Roman" w:hAnsi="Times New Roman" w:cs="Times New Roman"/>
          <w:b/>
          <w:i/>
          <w:kern w:val="36"/>
          <w:sz w:val="28"/>
          <w:szCs w:val="28"/>
          <w:lang w:eastAsia="vi-VN"/>
        </w:rPr>
        <w:t xml:space="preserve">Viện Nghiên cứu quản lý kinh tế Trung ương </w:t>
      </w:r>
    </w:p>
    <w:p w:rsidR="007E4E8E" w:rsidRPr="00E71364" w:rsidRDefault="007E4E8E" w:rsidP="005C37F2">
      <w:pPr>
        <w:spacing w:before="120" w:after="120" w:line="276" w:lineRule="auto"/>
        <w:ind w:firstLine="720"/>
        <w:jc w:val="both"/>
        <w:rPr>
          <w:rFonts w:ascii="Times New Roman" w:eastAsia="Calibri" w:hAnsi="Times New Roman" w:cs="Times New Roman"/>
          <w:szCs w:val="28"/>
        </w:rPr>
      </w:pPr>
    </w:p>
    <w:p w:rsidR="00901DA8" w:rsidRPr="00E71364" w:rsidRDefault="00BA1311" w:rsidP="00BA1311">
      <w:pPr>
        <w:spacing w:before="120" w:after="120" w:line="276" w:lineRule="auto"/>
        <w:ind w:firstLine="720"/>
        <w:jc w:val="both"/>
        <w:rPr>
          <w:rFonts w:ascii="Times New Roman" w:eastAsia="Calibri" w:hAnsi="Times New Roman" w:cs="Times New Roman"/>
          <w:sz w:val="28"/>
          <w:szCs w:val="28"/>
        </w:rPr>
      </w:pPr>
      <w:r w:rsidRPr="00E71364">
        <w:rPr>
          <w:rFonts w:ascii="Times New Roman" w:eastAsia="Calibri" w:hAnsi="Times New Roman" w:cs="Times New Roman"/>
          <w:sz w:val="28"/>
          <w:szCs w:val="28"/>
        </w:rPr>
        <w:t>Kể từ năm 2013, N</w:t>
      </w:r>
      <w:r w:rsidR="007E4E8E" w:rsidRPr="00E71364">
        <w:rPr>
          <w:rFonts w:ascii="Times New Roman" w:eastAsia="Calibri" w:hAnsi="Times New Roman" w:cs="Times New Roman"/>
          <w:sz w:val="28"/>
          <w:szCs w:val="28"/>
        </w:rPr>
        <w:t>gân hàng thế giới</w:t>
      </w:r>
      <w:r w:rsidRPr="00E71364">
        <w:rPr>
          <w:rFonts w:ascii="Times New Roman" w:eastAsia="Calibri" w:hAnsi="Times New Roman" w:cs="Times New Roman"/>
          <w:sz w:val="28"/>
          <w:szCs w:val="28"/>
        </w:rPr>
        <w:t xml:space="preserve"> bắt đầu xây dựng</w:t>
      </w:r>
      <w:r w:rsidR="007E4E8E" w:rsidRPr="00E71364">
        <w:rPr>
          <w:rFonts w:ascii="Times New Roman" w:eastAsia="Calibri" w:hAnsi="Times New Roman" w:cs="Times New Roman"/>
          <w:sz w:val="28"/>
          <w:szCs w:val="28"/>
        </w:rPr>
        <w:t xml:space="preserve"> </w:t>
      </w:r>
      <w:r w:rsidR="00921F16" w:rsidRPr="00E71364">
        <w:rPr>
          <w:rFonts w:ascii="Times New Roman" w:eastAsia="Calibri" w:hAnsi="Times New Roman" w:cs="Times New Roman"/>
          <w:sz w:val="28"/>
          <w:szCs w:val="28"/>
        </w:rPr>
        <w:t>b</w:t>
      </w:r>
      <w:r w:rsidR="007E4E8E" w:rsidRPr="00E71364">
        <w:rPr>
          <w:rFonts w:ascii="Times New Roman" w:eastAsia="Calibri" w:hAnsi="Times New Roman" w:cs="Times New Roman"/>
          <w:sz w:val="28"/>
          <w:szCs w:val="28"/>
        </w:rPr>
        <w:t>áo cáo</w:t>
      </w:r>
      <w:r w:rsidRPr="00E71364">
        <w:rPr>
          <w:rFonts w:ascii="Times New Roman" w:eastAsia="Calibri" w:hAnsi="Times New Roman" w:cs="Times New Roman"/>
          <w:sz w:val="28"/>
          <w:szCs w:val="28"/>
        </w:rPr>
        <w:t xml:space="preserve"> thường niên</w:t>
      </w:r>
      <w:r w:rsidR="007E4E8E" w:rsidRPr="00E71364">
        <w:rPr>
          <w:rFonts w:ascii="Times New Roman" w:eastAsia="Calibri" w:hAnsi="Times New Roman" w:cs="Times New Roman"/>
          <w:sz w:val="28"/>
          <w:szCs w:val="28"/>
        </w:rPr>
        <w:t xml:space="preserve"> Môi trường kinh doanh</w:t>
      </w:r>
      <w:r w:rsidRPr="00E71364">
        <w:rPr>
          <w:rFonts w:ascii="Times New Roman" w:eastAsia="Calibri" w:hAnsi="Times New Roman" w:cs="Times New Roman"/>
          <w:sz w:val="28"/>
          <w:szCs w:val="28"/>
        </w:rPr>
        <w:t xml:space="preserve"> (Doing Business) nhằm</w:t>
      </w:r>
      <w:r w:rsidRPr="00E71364">
        <w:rPr>
          <w:rFonts w:ascii="Times New Roman" w:hAnsi="Times New Roman"/>
          <w:sz w:val="28"/>
          <w:szCs w:val="28"/>
        </w:rPr>
        <w:t xml:space="preserve"> đưa ra đánh giá tổng quan về xếp hạng mức độ thân thiện của môi trường kinh doanh dựa trên một bộ chỉ số đo lường và so sánh các quy định áp dụng đối với doanh nghiệp trong vòng đời phát triển của doanh nghiệp. </w:t>
      </w:r>
      <w:r w:rsidR="007E4E8E" w:rsidRPr="00E71364">
        <w:rPr>
          <w:rFonts w:ascii="Times New Roman" w:eastAsia="Calibri" w:hAnsi="Times New Roman" w:cs="Times New Roman"/>
          <w:sz w:val="28"/>
          <w:szCs w:val="28"/>
        </w:rPr>
        <w:t xml:space="preserve">Bảo vệ cổ đông thiểu số là </w:t>
      </w:r>
      <w:r w:rsidR="00901DA8" w:rsidRPr="00E71364">
        <w:rPr>
          <w:rFonts w:ascii="Times New Roman" w:eastAsia="Calibri" w:hAnsi="Times New Roman" w:cs="Times New Roman"/>
          <w:sz w:val="28"/>
          <w:szCs w:val="28"/>
        </w:rPr>
        <w:t>một</w:t>
      </w:r>
      <w:r w:rsidR="007E4E8E" w:rsidRPr="00E71364">
        <w:rPr>
          <w:rFonts w:ascii="Times New Roman" w:eastAsia="Calibri" w:hAnsi="Times New Roman" w:cs="Times New Roman"/>
          <w:sz w:val="28"/>
          <w:szCs w:val="28"/>
        </w:rPr>
        <w:t xml:space="preserve"> trong 10 chỉ số trong </w:t>
      </w:r>
      <w:r w:rsidR="00901DA8" w:rsidRPr="00E71364">
        <w:rPr>
          <w:rFonts w:ascii="Times New Roman" w:eastAsia="Calibri" w:hAnsi="Times New Roman" w:cs="Times New Roman"/>
          <w:sz w:val="28"/>
          <w:szCs w:val="28"/>
        </w:rPr>
        <w:t>b</w:t>
      </w:r>
      <w:r w:rsidR="007E4E8E" w:rsidRPr="00E71364">
        <w:rPr>
          <w:rFonts w:ascii="Times New Roman" w:eastAsia="Calibri" w:hAnsi="Times New Roman" w:cs="Times New Roman"/>
          <w:sz w:val="28"/>
          <w:szCs w:val="28"/>
        </w:rPr>
        <w:t xml:space="preserve">áo cáo </w:t>
      </w:r>
      <w:r w:rsidR="00901DA8" w:rsidRPr="00E71364">
        <w:rPr>
          <w:rFonts w:ascii="Times New Roman" w:eastAsia="Calibri" w:hAnsi="Times New Roman" w:cs="Times New Roman"/>
          <w:sz w:val="28"/>
          <w:szCs w:val="28"/>
        </w:rPr>
        <w:t xml:space="preserve">nhằm </w:t>
      </w:r>
      <w:r w:rsidR="007E4E8E" w:rsidRPr="00E71364">
        <w:rPr>
          <w:rFonts w:ascii="Times New Roman" w:eastAsia="Calibri" w:hAnsi="Times New Roman" w:cs="Times New Roman"/>
          <w:sz w:val="28"/>
          <w:szCs w:val="28"/>
        </w:rPr>
        <w:t>đo lường mức độ bảo vệ quyền, lợi ích của nhà đầu tư</w:t>
      </w:r>
      <w:r w:rsidR="00901DA8" w:rsidRPr="00E71364">
        <w:rPr>
          <w:rFonts w:ascii="Times New Roman" w:eastAsia="Calibri" w:hAnsi="Times New Roman" w:cs="Times New Roman"/>
          <w:sz w:val="28"/>
          <w:szCs w:val="28"/>
        </w:rPr>
        <w:t xml:space="preserve"> </w:t>
      </w:r>
      <w:r w:rsidR="00901DA8" w:rsidRPr="00E71364">
        <w:rPr>
          <w:rFonts w:ascii="Times New Roman" w:hAnsi="Times New Roman" w:cs="Times New Roman"/>
          <w:sz w:val="28"/>
          <w:szCs w:val="28"/>
        </w:rPr>
        <w:t>thiểu số</w:t>
      </w:r>
      <w:r w:rsidR="007E4E8E" w:rsidRPr="00E71364">
        <w:rPr>
          <w:rFonts w:ascii="Times New Roman" w:hAnsi="Times New Roman" w:cs="Times New Roman"/>
          <w:sz w:val="28"/>
          <w:szCs w:val="28"/>
        </w:rPr>
        <w:t xml:space="preserve">. </w:t>
      </w:r>
      <w:r w:rsidR="00901DA8" w:rsidRPr="00E71364">
        <w:rPr>
          <w:rFonts w:ascii="Times New Roman" w:hAnsi="Times New Roman" w:cs="Times New Roman"/>
          <w:sz w:val="28"/>
          <w:szCs w:val="28"/>
        </w:rPr>
        <w:t xml:space="preserve">Bảo vệ cổ đông có ý nghĩa xuyên suốt trong quá trình hoạt động của doanh nghiệp, là một trong những yếu tố quyết định khả năng phát triển, mở rộng quy mô của doanh nghiệp. Bài viết dưới đây nhằm phân tích một số bất cập, hạn chế trong các quy định của pháp luật (cụ thể là Luật Doanh nghiệp) </w:t>
      </w:r>
      <w:r w:rsidR="00901DA8" w:rsidRPr="00E71364">
        <w:rPr>
          <w:rFonts w:ascii="Times New Roman" w:eastAsia="Times New Roman" w:hAnsi="Times New Roman" w:cs="Times New Roman"/>
          <w:sz w:val="28"/>
          <w:szCs w:val="28"/>
          <w:highlight w:val="white"/>
          <w:lang w:val="vi-VN" w:eastAsia="vi-VN"/>
        </w:rPr>
        <w:t>về bảo vệ quyền và lợi ích hợp pháp của cổ đông</w:t>
      </w:r>
      <w:r w:rsidR="00901DA8" w:rsidRPr="00E71364">
        <w:rPr>
          <w:rFonts w:ascii="Times New Roman" w:eastAsia="Times New Roman" w:hAnsi="Times New Roman" w:cs="Times New Roman"/>
          <w:sz w:val="28"/>
          <w:szCs w:val="28"/>
          <w:lang w:eastAsia="vi-VN"/>
        </w:rPr>
        <w:t>, đồng thời giới thiệu một</w:t>
      </w:r>
      <w:r w:rsidR="00901DA8" w:rsidRPr="00E71364">
        <w:rPr>
          <w:rFonts w:ascii="Times New Roman" w:eastAsia="Times New Roman" w:hAnsi="Times New Roman" w:cs="Times New Roman"/>
          <w:sz w:val="28"/>
          <w:szCs w:val="28"/>
          <w:highlight w:val="white"/>
          <w:lang w:val="vi-VN" w:eastAsia="vi-VN"/>
        </w:rPr>
        <w:t xml:space="preserve"> điểm mới trong Luật Doanh nghiệp</w:t>
      </w:r>
      <w:r w:rsidR="00901DA8" w:rsidRPr="00E71364">
        <w:rPr>
          <w:rFonts w:ascii="Times New Roman" w:eastAsia="Times New Roman" w:hAnsi="Times New Roman" w:cs="Times New Roman"/>
          <w:sz w:val="28"/>
          <w:szCs w:val="28"/>
          <w:highlight w:val="white"/>
          <w:lang w:eastAsia="vi-VN"/>
        </w:rPr>
        <w:t xml:space="preserve"> 2020</w:t>
      </w:r>
      <w:r w:rsidR="00901DA8" w:rsidRPr="00E71364">
        <w:rPr>
          <w:rFonts w:ascii="Times New Roman" w:eastAsia="Times New Roman" w:hAnsi="Times New Roman" w:cs="Times New Roman"/>
          <w:sz w:val="28"/>
          <w:szCs w:val="28"/>
          <w:highlight w:val="white"/>
          <w:lang w:val="vi-VN" w:eastAsia="vi-VN"/>
        </w:rPr>
        <w:t xml:space="preserve"> nhằm nâng cao quản trị công ty và bảo vệ cổ đông thiểu số</w:t>
      </w:r>
      <w:r w:rsidR="00901DA8" w:rsidRPr="00E71364">
        <w:rPr>
          <w:rFonts w:ascii="Times New Roman" w:eastAsia="Times New Roman" w:hAnsi="Times New Roman" w:cs="Times New Roman"/>
          <w:sz w:val="28"/>
          <w:szCs w:val="28"/>
          <w:lang w:eastAsia="vi-VN"/>
        </w:rPr>
        <w:t xml:space="preserve">. </w:t>
      </w:r>
    </w:p>
    <w:p w:rsidR="00921F16" w:rsidRPr="00E71364" w:rsidRDefault="005C37F2" w:rsidP="000A6A15">
      <w:pPr>
        <w:pStyle w:val="ListParagraph"/>
        <w:numPr>
          <w:ilvl w:val="0"/>
          <w:numId w:val="3"/>
        </w:numPr>
        <w:spacing w:before="120" w:after="120"/>
        <w:outlineLvl w:val="1"/>
        <w:rPr>
          <w:rFonts w:ascii="Times New Roman" w:eastAsia="Times New Roman" w:hAnsi="Times New Roman"/>
          <w:b/>
          <w:sz w:val="28"/>
          <w:szCs w:val="28"/>
          <w:highlight w:val="white"/>
          <w:lang w:val="vi-VN" w:eastAsia="vi-VN"/>
        </w:rPr>
      </w:pPr>
      <w:r w:rsidRPr="00E71364">
        <w:rPr>
          <w:rFonts w:ascii="Times New Roman" w:eastAsia="Times New Roman" w:hAnsi="Times New Roman"/>
          <w:b/>
          <w:sz w:val="28"/>
          <w:szCs w:val="28"/>
          <w:highlight w:val="white"/>
          <w:lang w:val="en-US" w:eastAsia="vi-VN"/>
        </w:rPr>
        <w:t xml:space="preserve">Bảo vệ cổ đông thiểu số - </w:t>
      </w:r>
      <w:r w:rsidR="00921F16" w:rsidRPr="00E71364">
        <w:rPr>
          <w:rFonts w:ascii="Times New Roman" w:eastAsia="Times New Roman" w:hAnsi="Times New Roman"/>
          <w:b/>
          <w:sz w:val="28"/>
          <w:szCs w:val="28"/>
          <w:highlight w:val="white"/>
          <w:lang w:val="en-US" w:eastAsia="vi-VN"/>
        </w:rPr>
        <w:t>một trong 10 chỉ số môi trường kinh doanh của Ngân hàng Thế giới</w:t>
      </w:r>
    </w:p>
    <w:p w:rsidR="00921F16" w:rsidRPr="00E71364" w:rsidRDefault="00921F16" w:rsidP="000A6A15">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Chỉ số Bảo vệ cổ đông thiểu số là một trong 10 chỉ số môi trường kinh doanh của Ngân hàng thế giới nhằm đo lường mức độ bảo vệ nhà đầu tư thiểu số trước các giao dịch tư lợi</w:t>
      </w:r>
      <w:r w:rsidRPr="00E71364">
        <w:rPr>
          <w:rStyle w:val="FootnoteReference"/>
          <w:rFonts w:ascii="Times New Roman" w:hAnsi="Times New Roman" w:cs="Times New Roman"/>
          <w:sz w:val="28"/>
          <w:szCs w:val="28"/>
        </w:rPr>
        <w:footnoteReference w:id="1"/>
      </w:r>
      <w:r w:rsidRPr="00E71364">
        <w:rPr>
          <w:rFonts w:ascii="Times New Roman" w:hAnsi="Times New Roman" w:cs="Times New Roman"/>
          <w:sz w:val="28"/>
          <w:szCs w:val="28"/>
        </w:rPr>
        <w:t xml:space="preserve"> được thực hiện bởi cổ đông lớn, nắm quyền kiểm soát.</w:t>
      </w:r>
      <w:r w:rsidR="00DB793D" w:rsidRPr="00E71364">
        <w:rPr>
          <w:rFonts w:ascii="Times New Roman" w:hAnsi="Times New Roman" w:cs="Times New Roman"/>
          <w:sz w:val="28"/>
          <w:szCs w:val="28"/>
        </w:rPr>
        <w:t xml:space="preserve"> Bảng dưới đây tóm tắt các trụ cột cũng như các chỉ số thành phần của bảo vệ cổ đông thiểu số theo cách tiếp cận của Ngân hàng thế giới.</w:t>
      </w:r>
    </w:p>
    <w:p w:rsidR="00DB793D" w:rsidRPr="00E71364" w:rsidRDefault="00DB793D" w:rsidP="000A6A15">
      <w:pPr>
        <w:spacing w:before="120" w:after="120" w:line="276" w:lineRule="auto"/>
        <w:ind w:firstLine="360"/>
        <w:jc w:val="center"/>
        <w:rPr>
          <w:rFonts w:ascii="Times New Roman" w:hAnsi="Times New Roman" w:cs="Times New Roman"/>
          <w:b/>
          <w:sz w:val="28"/>
          <w:szCs w:val="28"/>
        </w:rPr>
      </w:pPr>
      <w:r w:rsidRPr="00E71364">
        <w:rPr>
          <w:rFonts w:ascii="Times New Roman" w:hAnsi="Times New Roman" w:cs="Times New Roman"/>
          <w:b/>
          <w:sz w:val="28"/>
          <w:szCs w:val="28"/>
        </w:rPr>
        <w:t>Bảng 1: Chỉ số Bảo vệ cổ đông thiểu số theo cách tiếp cận của Ngân hàng thế giới</w:t>
      </w:r>
    </w:p>
    <w:tbl>
      <w:tblPr>
        <w:tblW w:w="0" w:type="auto"/>
        <w:tblInd w:w="108" w:type="dxa"/>
        <w:tblLook w:val="01E0" w:firstRow="1" w:lastRow="1" w:firstColumn="1" w:lastColumn="1" w:noHBand="0" w:noVBand="0"/>
      </w:tblPr>
      <w:tblGrid>
        <w:gridCol w:w="4728"/>
        <w:gridCol w:w="4236"/>
      </w:tblGrid>
      <w:tr w:rsidR="00E71364" w:rsidRPr="00E71364" w:rsidTr="00BA1311">
        <w:trPr>
          <w:trHeight w:val="559"/>
        </w:trPr>
        <w:tc>
          <w:tcPr>
            <w:tcW w:w="4940" w:type="dxa"/>
            <w:shd w:val="clear" w:color="auto" w:fill="FBE4D5" w:themeFill="accent2" w:themeFillTint="33"/>
          </w:tcPr>
          <w:p w:rsidR="00DB793D" w:rsidRPr="00E71364" w:rsidRDefault="00DB793D" w:rsidP="005C37F2">
            <w:pPr>
              <w:pStyle w:val="NormalWeb"/>
              <w:spacing w:before="60" w:beforeAutospacing="0" w:after="0" w:afterAutospacing="0" w:line="264" w:lineRule="auto"/>
              <w:jc w:val="both"/>
              <w:rPr>
                <w:b/>
                <w:lang w:val="vi-VN"/>
              </w:rPr>
            </w:pPr>
            <w:r w:rsidRPr="00E71364">
              <w:rPr>
                <w:b/>
                <w:lang w:val="vi-VN"/>
              </w:rPr>
              <w:t>Mức độ công khai hóa (từ 0-10 điểm)</w:t>
            </w:r>
          </w:p>
        </w:tc>
        <w:tc>
          <w:tcPr>
            <w:tcW w:w="4416" w:type="dxa"/>
            <w:shd w:val="clear" w:color="auto" w:fill="E2EFD9" w:themeFill="accent6" w:themeFillTint="33"/>
          </w:tcPr>
          <w:p w:rsidR="00DB793D" w:rsidRPr="00E71364" w:rsidRDefault="00DB793D" w:rsidP="005C37F2">
            <w:pPr>
              <w:pStyle w:val="NormalWeb"/>
              <w:spacing w:before="60" w:beforeAutospacing="0" w:after="0" w:afterAutospacing="0" w:line="264" w:lineRule="auto"/>
              <w:jc w:val="both"/>
              <w:rPr>
                <w:b/>
                <w:lang w:val="vi-VN"/>
              </w:rPr>
            </w:pPr>
            <w:r w:rsidRPr="00E71364">
              <w:rPr>
                <w:b/>
                <w:lang w:val="vi-VN"/>
              </w:rPr>
              <w:t>Quyền của cổ đông (từ 0-10 điểm)</w:t>
            </w:r>
          </w:p>
        </w:tc>
      </w:tr>
      <w:tr w:rsidR="00E71364" w:rsidRPr="00E71364" w:rsidTr="00DC3BDD">
        <w:trPr>
          <w:trHeight w:val="543"/>
        </w:trPr>
        <w:tc>
          <w:tcPr>
            <w:tcW w:w="4940" w:type="dxa"/>
            <w:shd w:val="clear" w:color="auto" w:fill="E0E0E0"/>
          </w:tcPr>
          <w:p w:rsidR="00DB793D" w:rsidRPr="00E71364" w:rsidRDefault="00DB793D" w:rsidP="00BA1311">
            <w:pPr>
              <w:pStyle w:val="NormalWeb"/>
              <w:numPr>
                <w:ilvl w:val="0"/>
                <w:numId w:val="5"/>
              </w:numPr>
              <w:spacing w:before="60" w:beforeAutospacing="0" w:after="0" w:afterAutospacing="0" w:line="264" w:lineRule="auto"/>
              <w:jc w:val="both"/>
              <w:rPr>
                <w:lang w:val="vi-VN"/>
              </w:rPr>
            </w:pPr>
            <w:r w:rsidRPr="00E71364">
              <w:rPr>
                <w:lang w:val="vi-VN"/>
              </w:rPr>
              <w:t>Quy trình thông qua giao dịch có liên quan</w:t>
            </w:r>
          </w:p>
        </w:tc>
        <w:tc>
          <w:tcPr>
            <w:tcW w:w="4416" w:type="dxa"/>
            <w:vMerge w:val="restart"/>
            <w:shd w:val="clear" w:color="auto" w:fill="E0E0E0"/>
          </w:tcPr>
          <w:p w:rsidR="00DB793D" w:rsidRPr="00E71364" w:rsidRDefault="00DB793D" w:rsidP="00BA1311">
            <w:pPr>
              <w:pStyle w:val="NormalWeb"/>
              <w:numPr>
                <w:ilvl w:val="0"/>
                <w:numId w:val="5"/>
              </w:numPr>
              <w:spacing w:before="60" w:beforeAutospacing="0" w:after="0" w:afterAutospacing="0" w:line="264" w:lineRule="auto"/>
              <w:jc w:val="both"/>
              <w:rPr>
                <w:lang w:val="vi-VN"/>
              </w:rPr>
            </w:pPr>
            <w:r w:rsidRPr="00E71364">
              <w:rPr>
                <w:lang w:val="vi-VN"/>
              </w:rPr>
              <w:t>Quyền và vai trò của cổ đông đối với các quyết định quan trọng của công ty</w:t>
            </w:r>
          </w:p>
        </w:tc>
      </w:tr>
      <w:tr w:rsidR="00E71364" w:rsidRPr="00E71364" w:rsidTr="00DC3BDD">
        <w:trPr>
          <w:trHeight w:val="543"/>
        </w:trPr>
        <w:tc>
          <w:tcPr>
            <w:tcW w:w="4940" w:type="dxa"/>
            <w:shd w:val="clear" w:color="auto" w:fill="E0E0E0"/>
          </w:tcPr>
          <w:p w:rsidR="00DB793D" w:rsidRPr="00E71364" w:rsidRDefault="00DB793D" w:rsidP="00BA1311">
            <w:pPr>
              <w:pStyle w:val="NormalWeb"/>
              <w:numPr>
                <w:ilvl w:val="0"/>
                <w:numId w:val="5"/>
              </w:numPr>
              <w:spacing w:before="60" w:beforeAutospacing="0" w:after="0" w:afterAutospacing="0" w:line="264" w:lineRule="auto"/>
              <w:jc w:val="both"/>
              <w:rPr>
                <w:lang w:val="vi-VN"/>
              </w:rPr>
            </w:pPr>
            <w:r w:rsidRPr="00E71364">
              <w:rPr>
                <w:lang w:val="vi-VN"/>
              </w:rPr>
              <w:t>Yêu cầu công khai hóa giao dịch có liên quan</w:t>
            </w:r>
          </w:p>
        </w:tc>
        <w:tc>
          <w:tcPr>
            <w:tcW w:w="4416" w:type="dxa"/>
            <w:vMerge/>
            <w:shd w:val="clear" w:color="auto" w:fill="E0E0E0"/>
          </w:tcPr>
          <w:p w:rsidR="00DB793D" w:rsidRPr="00E71364" w:rsidRDefault="00DB793D" w:rsidP="005C37F2">
            <w:pPr>
              <w:pStyle w:val="NormalWeb"/>
              <w:spacing w:before="60" w:beforeAutospacing="0" w:after="0" w:afterAutospacing="0" w:line="264" w:lineRule="auto"/>
              <w:jc w:val="both"/>
              <w:rPr>
                <w:lang w:val="vi-VN"/>
              </w:rPr>
            </w:pPr>
          </w:p>
        </w:tc>
      </w:tr>
      <w:tr w:rsidR="00E71364" w:rsidRPr="00E71364" w:rsidTr="00BA1311">
        <w:trPr>
          <w:trHeight w:val="543"/>
        </w:trPr>
        <w:tc>
          <w:tcPr>
            <w:tcW w:w="4940" w:type="dxa"/>
            <w:shd w:val="clear" w:color="auto" w:fill="FBE4D5" w:themeFill="accent2" w:themeFillTint="33"/>
          </w:tcPr>
          <w:p w:rsidR="00DB793D" w:rsidRPr="00E71364" w:rsidRDefault="00DB793D" w:rsidP="005C37F2">
            <w:pPr>
              <w:pStyle w:val="NormalWeb"/>
              <w:spacing w:before="60" w:beforeAutospacing="0" w:after="0" w:afterAutospacing="0" w:line="264" w:lineRule="auto"/>
              <w:jc w:val="both"/>
              <w:rPr>
                <w:b/>
                <w:lang w:val="vi-VN"/>
              </w:rPr>
            </w:pPr>
            <w:r w:rsidRPr="00E71364">
              <w:rPr>
                <w:b/>
                <w:lang w:val="vi-VN"/>
              </w:rPr>
              <w:t>Trách nhiệm của người quản lý (từ 0-10 điểm)</w:t>
            </w:r>
          </w:p>
        </w:tc>
        <w:tc>
          <w:tcPr>
            <w:tcW w:w="4416" w:type="dxa"/>
            <w:shd w:val="clear" w:color="auto" w:fill="E2EFD9" w:themeFill="accent6" w:themeFillTint="33"/>
          </w:tcPr>
          <w:p w:rsidR="00DB793D" w:rsidRPr="00E71364" w:rsidRDefault="00DB793D" w:rsidP="005C37F2">
            <w:pPr>
              <w:pStyle w:val="NormalWeb"/>
              <w:spacing w:before="60" w:beforeAutospacing="0" w:after="0" w:afterAutospacing="0" w:line="264" w:lineRule="auto"/>
              <w:jc w:val="both"/>
              <w:rPr>
                <w:b/>
                <w:lang w:val="vi-VN"/>
              </w:rPr>
            </w:pPr>
            <w:r w:rsidRPr="00E71364">
              <w:rPr>
                <w:b/>
                <w:lang w:val="vi-VN"/>
              </w:rPr>
              <w:t>Mức độ sở hữu và kiểm soát (từ 0-10 điểm)</w:t>
            </w:r>
          </w:p>
        </w:tc>
      </w:tr>
      <w:tr w:rsidR="00E71364" w:rsidRPr="00E71364" w:rsidTr="00DC3BDD">
        <w:trPr>
          <w:trHeight w:val="543"/>
        </w:trPr>
        <w:tc>
          <w:tcPr>
            <w:tcW w:w="4940" w:type="dxa"/>
            <w:shd w:val="clear" w:color="auto" w:fill="E6E6E6"/>
          </w:tcPr>
          <w:p w:rsidR="00DB793D" w:rsidRPr="00E71364" w:rsidRDefault="00DB793D" w:rsidP="002978F5">
            <w:pPr>
              <w:pStyle w:val="NormalWeb"/>
              <w:numPr>
                <w:ilvl w:val="0"/>
                <w:numId w:val="6"/>
              </w:numPr>
              <w:spacing w:before="60" w:beforeAutospacing="0" w:after="0" w:afterAutospacing="0" w:line="264" w:lineRule="auto"/>
              <w:jc w:val="both"/>
              <w:rPr>
                <w:lang w:val="vi-VN"/>
              </w:rPr>
            </w:pPr>
            <w:r w:rsidRPr="00E71364">
              <w:rPr>
                <w:lang w:val="vi-VN"/>
              </w:rPr>
              <w:lastRenderedPageBreak/>
              <w:t>Đối tượng cổ đông được quyền khởi kiện người quản lý trực tiếp hoặc nhân danh công ty</w:t>
            </w:r>
          </w:p>
        </w:tc>
        <w:tc>
          <w:tcPr>
            <w:tcW w:w="4416" w:type="dxa"/>
            <w:vMerge w:val="restart"/>
            <w:shd w:val="clear" w:color="auto" w:fill="E6E6E6"/>
          </w:tcPr>
          <w:p w:rsidR="00DB793D" w:rsidRPr="00E71364" w:rsidRDefault="00DB793D" w:rsidP="002978F5">
            <w:pPr>
              <w:pStyle w:val="NormalWeb"/>
              <w:numPr>
                <w:ilvl w:val="0"/>
                <w:numId w:val="6"/>
              </w:numPr>
              <w:spacing w:before="60" w:beforeAutospacing="0" w:after="0" w:afterAutospacing="0" w:line="264" w:lineRule="auto"/>
              <w:jc w:val="both"/>
              <w:rPr>
                <w:lang w:val="vi-VN"/>
              </w:rPr>
            </w:pPr>
            <w:r w:rsidRPr="00E71364">
              <w:rPr>
                <w:lang w:val="vi-VN"/>
              </w:rPr>
              <w:t xml:space="preserve">Những quy định về quản trị nhằm bảo vệ cổ đông trước sự kiểm soát quá mức của </w:t>
            </w:r>
            <w:r w:rsidR="005C37F2" w:rsidRPr="00E71364">
              <w:t>Hội đồng quản trị</w:t>
            </w:r>
            <w:r w:rsidRPr="00E71364">
              <w:rPr>
                <w:lang w:val="vi-VN"/>
              </w:rPr>
              <w:t xml:space="preserve"> cũng như sự bảo vệ vị trí của </w:t>
            </w:r>
            <w:r w:rsidR="005C37F2" w:rsidRPr="00E71364">
              <w:t>Hội đồng quản trị</w:t>
            </w:r>
          </w:p>
        </w:tc>
      </w:tr>
      <w:tr w:rsidR="00E71364" w:rsidRPr="00E71364" w:rsidTr="00DC3BDD">
        <w:trPr>
          <w:trHeight w:val="559"/>
        </w:trPr>
        <w:tc>
          <w:tcPr>
            <w:tcW w:w="4940" w:type="dxa"/>
            <w:shd w:val="clear" w:color="auto" w:fill="E6E6E6"/>
          </w:tcPr>
          <w:p w:rsidR="00DB793D" w:rsidRPr="00E71364" w:rsidRDefault="00DB793D" w:rsidP="002978F5">
            <w:pPr>
              <w:pStyle w:val="NormalWeb"/>
              <w:numPr>
                <w:ilvl w:val="0"/>
                <w:numId w:val="6"/>
              </w:numPr>
              <w:spacing w:before="60" w:beforeAutospacing="0" w:after="0" w:afterAutospacing="0" w:line="264" w:lineRule="auto"/>
              <w:jc w:val="both"/>
              <w:rPr>
                <w:lang w:val="vi-VN"/>
              </w:rPr>
            </w:pPr>
            <w:r w:rsidRPr="00E71364">
              <w:rPr>
                <w:lang w:val="vi-VN"/>
              </w:rPr>
              <w:t>Trách nhiệm của người hoặc cơ quan có thẩm quyền thông qua giao dịch có liên quan</w:t>
            </w:r>
          </w:p>
        </w:tc>
        <w:tc>
          <w:tcPr>
            <w:tcW w:w="4416" w:type="dxa"/>
            <w:vMerge/>
            <w:shd w:val="clear" w:color="auto" w:fill="E6E6E6"/>
          </w:tcPr>
          <w:p w:rsidR="00DB793D" w:rsidRPr="00E71364" w:rsidRDefault="00DB793D" w:rsidP="005C37F2">
            <w:pPr>
              <w:pStyle w:val="NormalWeb"/>
              <w:spacing w:before="60" w:beforeAutospacing="0" w:after="0" w:afterAutospacing="0" w:line="264" w:lineRule="auto"/>
              <w:jc w:val="both"/>
              <w:rPr>
                <w:lang w:val="vi-VN"/>
              </w:rPr>
            </w:pPr>
          </w:p>
        </w:tc>
      </w:tr>
      <w:tr w:rsidR="00E71364" w:rsidRPr="00E71364" w:rsidTr="00DC3BDD">
        <w:trPr>
          <w:trHeight w:val="559"/>
        </w:trPr>
        <w:tc>
          <w:tcPr>
            <w:tcW w:w="4940" w:type="dxa"/>
            <w:shd w:val="clear" w:color="auto" w:fill="E6E6E6"/>
          </w:tcPr>
          <w:p w:rsidR="00DB793D" w:rsidRPr="00E71364" w:rsidRDefault="00DB793D" w:rsidP="002978F5">
            <w:pPr>
              <w:pStyle w:val="NormalWeb"/>
              <w:numPr>
                <w:ilvl w:val="0"/>
                <w:numId w:val="6"/>
              </w:numPr>
              <w:spacing w:before="60" w:beforeAutospacing="0" w:after="0" w:afterAutospacing="0" w:line="264" w:lineRule="auto"/>
              <w:jc w:val="both"/>
              <w:rPr>
                <w:lang w:val="vi-VN"/>
              </w:rPr>
            </w:pPr>
            <w:r w:rsidRPr="00E71364">
              <w:rPr>
                <w:lang w:val="vi-VN"/>
              </w:rPr>
              <w:t>Chế tài đối với bên có liên quan trong trường hợp giao dịch có liên quan gây thiệt hại cho công ty (bồi thường thiệt hại, hoàn trả lợi ích, phạt tù hoặc giao dịch vô hiệu)</w:t>
            </w:r>
          </w:p>
        </w:tc>
        <w:tc>
          <w:tcPr>
            <w:tcW w:w="4416" w:type="dxa"/>
            <w:vMerge/>
            <w:shd w:val="clear" w:color="auto" w:fill="E6E6E6"/>
          </w:tcPr>
          <w:p w:rsidR="00DB793D" w:rsidRPr="00E71364" w:rsidRDefault="00DB793D" w:rsidP="005C37F2">
            <w:pPr>
              <w:pStyle w:val="NormalWeb"/>
              <w:spacing w:before="60" w:beforeAutospacing="0" w:after="0" w:afterAutospacing="0" w:line="264" w:lineRule="auto"/>
              <w:jc w:val="both"/>
              <w:rPr>
                <w:lang w:val="vi-VN"/>
              </w:rPr>
            </w:pPr>
          </w:p>
        </w:tc>
      </w:tr>
      <w:tr w:rsidR="00E71364" w:rsidRPr="00E71364" w:rsidTr="00BA1311">
        <w:trPr>
          <w:trHeight w:val="559"/>
        </w:trPr>
        <w:tc>
          <w:tcPr>
            <w:tcW w:w="4940" w:type="dxa"/>
            <w:shd w:val="clear" w:color="auto" w:fill="FBE4D5" w:themeFill="accent2" w:themeFillTint="33"/>
          </w:tcPr>
          <w:p w:rsidR="00DB793D" w:rsidRPr="00E71364" w:rsidRDefault="00DB793D" w:rsidP="005C37F2">
            <w:pPr>
              <w:pStyle w:val="NormalWeb"/>
              <w:spacing w:before="60" w:beforeAutospacing="0" w:after="0" w:afterAutospacing="0" w:line="264" w:lineRule="auto"/>
              <w:jc w:val="both"/>
              <w:rPr>
                <w:b/>
                <w:lang w:val="vi-VN"/>
              </w:rPr>
            </w:pPr>
            <w:r w:rsidRPr="00E71364">
              <w:rPr>
                <w:b/>
                <w:lang w:val="vi-VN"/>
              </w:rPr>
              <w:t>Mức độ dễ dàng khởi kiện người quản lý (từ 0-10 điểm)</w:t>
            </w:r>
          </w:p>
        </w:tc>
        <w:tc>
          <w:tcPr>
            <w:tcW w:w="4416" w:type="dxa"/>
            <w:shd w:val="clear" w:color="auto" w:fill="E2EFD9" w:themeFill="accent6" w:themeFillTint="33"/>
          </w:tcPr>
          <w:p w:rsidR="00DB793D" w:rsidRPr="00E71364" w:rsidRDefault="00DB793D" w:rsidP="005C37F2">
            <w:pPr>
              <w:pStyle w:val="NormalWeb"/>
              <w:spacing w:before="60" w:beforeAutospacing="0" w:after="0" w:afterAutospacing="0" w:line="264" w:lineRule="auto"/>
              <w:jc w:val="both"/>
              <w:rPr>
                <w:b/>
                <w:lang w:val="vi-VN"/>
              </w:rPr>
            </w:pPr>
            <w:r w:rsidRPr="00E71364">
              <w:rPr>
                <w:b/>
                <w:lang w:val="vi-VN"/>
              </w:rPr>
              <w:t>Mức độ minh bạch của công ty (từ 0-10 điểm)</w:t>
            </w:r>
          </w:p>
        </w:tc>
      </w:tr>
      <w:tr w:rsidR="00E71364" w:rsidRPr="00E71364" w:rsidTr="00DC3BDD">
        <w:trPr>
          <w:trHeight w:val="559"/>
        </w:trPr>
        <w:tc>
          <w:tcPr>
            <w:tcW w:w="4940" w:type="dxa"/>
            <w:shd w:val="clear" w:color="auto" w:fill="E6E6E6"/>
          </w:tcPr>
          <w:p w:rsidR="00DB793D" w:rsidRPr="00E71364" w:rsidRDefault="00DB793D" w:rsidP="002978F5">
            <w:pPr>
              <w:pStyle w:val="NormalWeb"/>
              <w:numPr>
                <w:ilvl w:val="0"/>
                <w:numId w:val="8"/>
              </w:numPr>
              <w:spacing w:before="60" w:beforeAutospacing="0" w:after="0" w:afterAutospacing="0" w:line="264" w:lineRule="auto"/>
              <w:jc w:val="both"/>
              <w:rPr>
                <w:lang w:val="vi-VN"/>
              </w:rPr>
            </w:pPr>
            <w:r w:rsidRPr="00E71364">
              <w:rPr>
                <w:lang w:val="vi-VN"/>
              </w:rPr>
              <w:t>Mức độ tiếp cận thông tin hoặc tài liệu nội bộ công ty: trực tiếp hoặc thông qua cơ quan có thẩm quyền</w:t>
            </w:r>
          </w:p>
        </w:tc>
        <w:tc>
          <w:tcPr>
            <w:tcW w:w="4416" w:type="dxa"/>
            <w:vMerge w:val="restart"/>
            <w:shd w:val="clear" w:color="auto" w:fill="E6E6E6"/>
          </w:tcPr>
          <w:p w:rsidR="00DB793D" w:rsidRPr="00E71364" w:rsidRDefault="00DB793D" w:rsidP="002978F5">
            <w:pPr>
              <w:pStyle w:val="NormalWeb"/>
              <w:numPr>
                <w:ilvl w:val="0"/>
                <w:numId w:val="7"/>
              </w:numPr>
              <w:spacing w:before="60" w:beforeAutospacing="0" w:after="0" w:afterAutospacing="0" w:line="264" w:lineRule="auto"/>
              <w:jc w:val="both"/>
              <w:rPr>
                <w:lang w:val="vi-VN"/>
              </w:rPr>
            </w:pPr>
            <w:r w:rsidRPr="00E71364">
              <w:rPr>
                <w:lang w:val="vi-VN"/>
              </w:rPr>
              <w:t xml:space="preserve">Sự minh bạch của công ty về sở hữu, thù lao </w:t>
            </w:r>
            <w:r w:rsidR="005C37F2" w:rsidRPr="00E71364">
              <w:t>Hội đồng quản trị</w:t>
            </w:r>
            <w:r w:rsidRPr="00E71364">
              <w:rPr>
                <w:lang w:val="vi-VN"/>
              </w:rPr>
              <w:t>, họp Đ</w:t>
            </w:r>
            <w:r w:rsidR="005C37F2" w:rsidRPr="00E71364">
              <w:t>ại hội đồng cổ đông</w:t>
            </w:r>
            <w:r w:rsidRPr="00E71364">
              <w:rPr>
                <w:lang w:val="vi-VN"/>
              </w:rPr>
              <w:t xml:space="preserve"> và kiểm toán</w:t>
            </w:r>
          </w:p>
        </w:tc>
      </w:tr>
      <w:tr w:rsidR="00E71364" w:rsidRPr="00E71364" w:rsidTr="00DC3BDD">
        <w:trPr>
          <w:trHeight w:val="559"/>
        </w:trPr>
        <w:tc>
          <w:tcPr>
            <w:tcW w:w="4940" w:type="dxa"/>
            <w:shd w:val="clear" w:color="auto" w:fill="E6E6E6"/>
          </w:tcPr>
          <w:p w:rsidR="00DB793D" w:rsidRPr="00E71364" w:rsidRDefault="00DB793D" w:rsidP="002978F5">
            <w:pPr>
              <w:pStyle w:val="NormalWeb"/>
              <w:numPr>
                <w:ilvl w:val="0"/>
                <w:numId w:val="8"/>
              </w:numPr>
              <w:spacing w:before="60" w:beforeAutospacing="0" w:after="0" w:afterAutospacing="0" w:line="264" w:lineRule="auto"/>
              <w:jc w:val="both"/>
              <w:rPr>
                <w:lang w:val="vi-VN"/>
              </w:rPr>
            </w:pPr>
            <w:r w:rsidRPr="00E71364">
              <w:rPr>
                <w:lang w:val="vi-VN"/>
              </w:rPr>
              <w:t>Mức độ tiếp cận thông tin hoặc tài liệu có liên quan trong quá trình tố tụng</w:t>
            </w:r>
          </w:p>
        </w:tc>
        <w:tc>
          <w:tcPr>
            <w:tcW w:w="4416" w:type="dxa"/>
            <w:vMerge/>
            <w:shd w:val="clear" w:color="auto" w:fill="E6E6E6"/>
          </w:tcPr>
          <w:p w:rsidR="00DB793D" w:rsidRPr="00E71364" w:rsidRDefault="00DB793D" w:rsidP="005C37F2">
            <w:pPr>
              <w:pStyle w:val="NormalWeb"/>
              <w:spacing w:before="60" w:beforeAutospacing="0" w:after="0" w:afterAutospacing="0" w:line="264" w:lineRule="auto"/>
              <w:jc w:val="both"/>
              <w:rPr>
                <w:lang w:val="vi-VN"/>
              </w:rPr>
            </w:pPr>
          </w:p>
        </w:tc>
      </w:tr>
      <w:tr w:rsidR="00E71364" w:rsidRPr="00E71364" w:rsidTr="00BA1311">
        <w:trPr>
          <w:trHeight w:val="559"/>
        </w:trPr>
        <w:tc>
          <w:tcPr>
            <w:tcW w:w="4940" w:type="dxa"/>
            <w:shd w:val="clear" w:color="auto" w:fill="F4B083" w:themeFill="accent2" w:themeFillTint="99"/>
          </w:tcPr>
          <w:p w:rsidR="00DB793D" w:rsidRPr="00E71364" w:rsidRDefault="00DB793D" w:rsidP="005C37F2">
            <w:pPr>
              <w:pStyle w:val="NormalWeb"/>
              <w:spacing w:before="60" w:beforeAutospacing="0" w:after="0" w:afterAutospacing="0" w:line="264" w:lineRule="auto"/>
              <w:jc w:val="both"/>
              <w:rPr>
                <w:b/>
                <w:bCs/>
                <w:lang w:val="vi-VN"/>
              </w:rPr>
            </w:pPr>
            <w:r w:rsidRPr="00E71364">
              <w:rPr>
                <w:b/>
                <w:bCs/>
                <w:lang w:val="vi-VN"/>
              </w:rPr>
              <w:t>Chỉ số ngăn ngừa xung đột lợi ích (từ 0-10 điểm)</w:t>
            </w:r>
          </w:p>
        </w:tc>
        <w:tc>
          <w:tcPr>
            <w:tcW w:w="4416" w:type="dxa"/>
            <w:shd w:val="clear" w:color="auto" w:fill="A8D08D" w:themeFill="accent6" w:themeFillTint="99"/>
          </w:tcPr>
          <w:p w:rsidR="00DB793D" w:rsidRPr="00E71364" w:rsidRDefault="00DB793D" w:rsidP="005C37F2">
            <w:pPr>
              <w:pStyle w:val="NormalWeb"/>
              <w:spacing w:before="60" w:beforeAutospacing="0" w:after="0" w:afterAutospacing="0" w:line="264" w:lineRule="auto"/>
              <w:jc w:val="both"/>
              <w:rPr>
                <w:b/>
                <w:bCs/>
                <w:lang w:val="vi-VN"/>
              </w:rPr>
            </w:pPr>
            <w:r w:rsidRPr="00E71364">
              <w:rPr>
                <w:b/>
                <w:bCs/>
                <w:lang w:val="vi-VN"/>
              </w:rPr>
              <w:t>Chỉ số quản trị của cổ đông (từ 0-10 điểm)</w:t>
            </w:r>
          </w:p>
        </w:tc>
      </w:tr>
      <w:tr w:rsidR="00E71364" w:rsidRPr="00E71364" w:rsidTr="00DC3BDD">
        <w:trPr>
          <w:trHeight w:val="559"/>
        </w:trPr>
        <w:tc>
          <w:tcPr>
            <w:tcW w:w="4940" w:type="dxa"/>
            <w:shd w:val="clear" w:color="auto" w:fill="D9D9D9" w:themeFill="background1" w:themeFillShade="D9"/>
          </w:tcPr>
          <w:p w:rsidR="00DB793D" w:rsidRPr="00E71364" w:rsidRDefault="002978F5" w:rsidP="002978F5">
            <w:pPr>
              <w:pStyle w:val="NormalWeb"/>
              <w:spacing w:before="60" w:beforeAutospacing="0" w:after="0" w:afterAutospacing="0" w:line="264" w:lineRule="auto"/>
              <w:jc w:val="both"/>
              <w:rPr>
                <w:bCs/>
                <w:lang w:val="vi-VN"/>
              </w:rPr>
            </w:pPr>
            <w:r w:rsidRPr="00E71364">
              <w:rPr>
                <w:bCs/>
              </w:rPr>
              <w:t xml:space="preserve">Chỉ số này là </w:t>
            </w:r>
            <w:r w:rsidRPr="00E71364">
              <w:rPr>
                <w:bCs/>
                <w:lang w:val="vi-VN"/>
              </w:rPr>
              <w:t>t</w:t>
            </w:r>
            <w:r w:rsidR="00DB793D" w:rsidRPr="00E71364">
              <w:rPr>
                <w:bCs/>
                <w:lang w:val="vi-VN"/>
              </w:rPr>
              <w:t>rung bình cộng của các chỉ số: mức độ công khai hóa, nghĩa vụ của người quản lý, mức độ dễ dàng khởi kiện người quản lý</w:t>
            </w:r>
          </w:p>
        </w:tc>
        <w:tc>
          <w:tcPr>
            <w:tcW w:w="4416" w:type="dxa"/>
            <w:shd w:val="clear" w:color="auto" w:fill="D9D9D9" w:themeFill="background1" w:themeFillShade="D9"/>
          </w:tcPr>
          <w:p w:rsidR="00DB793D" w:rsidRPr="00E71364" w:rsidRDefault="002978F5" w:rsidP="002978F5">
            <w:pPr>
              <w:pStyle w:val="NormalWeb"/>
              <w:spacing w:before="60" w:beforeAutospacing="0" w:after="0" w:afterAutospacing="0" w:line="264" w:lineRule="auto"/>
              <w:jc w:val="both"/>
              <w:rPr>
                <w:b/>
                <w:bCs/>
                <w:lang w:val="vi-VN"/>
              </w:rPr>
            </w:pPr>
            <w:r w:rsidRPr="00E71364">
              <w:rPr>
                <w:bCs/>
              </w:rPr>
              <w:t>Chỉ số này là t</w:t>
            </w:r>
            <w:r w:rsidR="00DB793D" w:rsidRPr="00E71364">
              <w:rPr>
                <w:bCs/>
                <w:lang w:val="vi-VN"/>
              </w:rPr>
              <w:t>rung bình cộng của các chỉ số: quyền của cổ đông, mức độ sở hữu và kiểm soát, mức độ minh bạch của công ty</w:t>
            </w:r>
          </w:p>
        </w:tc>
      </w:tr>
      <w:tr w:rsidR="00E71364" w:rsidRPr="00E71364" w:rsidTr="00BA1311">
        <w:trPr>
          <w:trHeight w:val="559"/>
        </w:trPr>
        <w:tc>
          <w:tcPr>
            <w:tcW w:w="9356" w:type="dxa"/>
            <w:gridSpan w:val="2"/>
            <w:shd w:val="clear" w:color="auto" w:fill="8EAADB" w:themeFill="accent5" w:themeFillTint="99"/>
          </w:tcPr>
          <w:p w:rsidR="00DB793D" w:rsidRPr="00E71364" w:rsidRDefault="00DB793D" w:rsidP="005C37F2">
            <w:pPr>
              <w:pStyle w:val="NormalWeb"/>
              <w:spacing w:before="60" w:beforeAutospacing="0" w:after="0" w:afterAutospacing="0" w:line="264" w:lineRule="auto"/>
              <w:jc w:val="both"/>
              <w:rPr>
                <w:b/>
                <w:lang w:val="vi-VN"/>
              </w:rPr>
            </w:pPr>
            <w:r w:rsidRPr="00E71364">
              <w:rPr>
                <w:b/>
                <w:lang w:val="vi-VN"/>
              </w:rPr>
              <w:t>Chỉ số bảo vệ nhà đầu tư thiểu số (từ 0-10 điểm)</w:t>
            </w:r>
          </w:p>
        </w:tc>
      </w:tr>
      <w:tr w:rsidR="00E71364" w:rsidRPr="00E71364" w:rsidTr="00DC3BDD">
        <w:trPr>
          <w:trHeight w:val="566"/>
        </w:trPr>
        <w:tc>
          <w:tcPr>
            <w:tcW w:w="9356" w:type="dxa"/>
            <w:gridSpan w:val="2"/>
            <w:shd w:val="clear" w:color="auto" w:fill="D9D9D9" w:themeFill="background1" w:themeFillShade="D9"/>
          </w:tcPr>
          <w:p w:rsidR="00DB793D" w:rsidRPr="00E71364" w:rsidRDefault="002978F5" w:rsidP="005C37F2">
            <w:pPr>
              <w:pStyle w:val="NormalWeb"/>
              <w:spacing w:before="60" w:beforeAutospacing="0" w:after="0" w:afterAutospacing="0" w:line="264" w:lineRule="auto"/>
              <w:jc w:val="both"/>
              <w:rPr>
                <w:bCs/>
                <w:lang w:val="vi-VN"/>
              </w:rPr>
            </w:pPr>
            <w:r w:rsidRPr="00E71364">
              <w:rPr>
                <w:bCs/>
              </w:rPr>
              <w:t>Chỉ số này là t</w:t>
            </w:r>
            <w:r w:rsidR="00DB793D" w:rsidRPr="00E71364">
              <w:rPr>
                <w:bCs/>
                <w:lang w:val="vi-VN"/>
              </w:rPr>
              <w:t>rung bình cộng của chỉ số ngăn ngừa xung đột lợi ích và chỉ số quản trị của cổ đông.</w:t>
            </w:r>
          </w:p>
        </w:tc>
      </w:tr>
    </w:tbl>
    <w:p w:rsidR="00DB793D" w:rsidRPr="00E71364" w:rsidRDefault="00DB793D" w:rsidP="005C37F2">
      <w:pPr>
        <w:spacing w:before="120" w:after="120" w:line="276" w:lineRule="auto"/>
        <w:ind w:firstLine="720"/>
        <w:jc w:val="both"/>
        <w:rPr>
          <w:rFonts w:ascii="Times New Roman" w:hAnsi="Times New Roman" w:cs="Times New Roman"/>
          <w:i/>
          <w:sz w:val="28"/>
          <w:szCs w:val="28"/>
        </w:rPr>
      </w:pPr>
      <w:r w:rsidRPr="00E71364">
        <w:rPr>
          <w:rFonts w:ascii="Times New Roman" w:hAnsi="Times New Roman" w:cs="Times New Roman"/>
          <w:i/>
          <w:sz w:val="28"/>
          <w:szCs w:val="28"/>
          <w:lang w:val="vi-VN"/>
        </w:rPr>
        <w:t xml:space="preserve">Nguồn: Báo cáo </w:t>
      </w:r>
      <w:r w:rsidRPr="00E71364">
        <w:rPr>
          <w:rFonts w:ascii="Times New Roman" w:hAnsi="Times New Roman" w:cs="Times New Roman"/>
          <w:i/>
          <w:sz w:val="28"/>
          <w:szCs w:val="28"/>
        </w:rPr>
        <w:t>Môi trường kinh doanh, Ngân hàng thế giới</w:t>
      </w:r>
    </w:p>
    <w:p w:rsidR="00921F16" w:rsidRPr="00E71364" w:rsidRDefault="00DB793D" w:rsidP="005C37F2">
      <w:pPr>
        <w:spacing w:before="120" w:after="120" w:line="276" w:lineRule="auto"/>
        <w:ind w:firstLine="720"/>
        <w:jc w:val="both"/>
        <w:rPr>
          <w:rFonts w:ascii="Times New Roman" w:eastAsia="Times New Roman" w:hAnsi="Times New Roman" w:cs="Times New Roman"/>
          <w:sz w:val="28"/>
          <w:szCs w:val="28"/>
          <w:highlight w:val="white"/>
          <w:lang w:eastAsia="vi-VN"/>
        </w:rPr>
      </w:pPr>
      <w:r w:rsidRPr="00E71364">
        <w:rPr>
          <w:rFonts w:ascii="Times New Roman" w:eastAsia="Times New Roman" w:hAnsi="Times New Roman" w:cs="Times New Roman"/>
          <w:sz w:val="28"/>
          <w:szCs w:val="28"/>
          <w:highlight w:val="white"/>
          <w:lang w:eastAsia="vi-VN"/>
        </w:rPr>
        <w:t xml:space="preserve">Nhìn vào bảng trên có thể thấy có 2 chỉ số thành phần làm lên chỉ số bảo vệ </w:t>
      </w:r>
      <w:r w:rsidR="000A6A15" w:rsidRPr="00E71364">
        <w:rPr>
          <w:rFonts w:ascii="Times New Roman" w:eastAsia="Times New Roman" w:hAnsi="Times New Roman" w:cs="Times New Roman"/>
          <w:sz w:val="28"/>
          <w:szCs w:val="28"/>
          <w:highlight w:val="white"/>
          <w:lang w:eastAsia="vi-VN"/>
        </w:rPr>
        <w:t>cổ đông thiểu số, cụ thể</w:t>
      </w:r>
      <w:r w:rsidRPr="00E71364">
        <w:rPr>
          <w:rFonts w:ascii="Times New Roman" w:eastAsia="Times New Roman" w:hAnsi="Times New Roman" w:cs="Times New Roman"/>
          <w:sz w:val="28"/>
          <w:szCs w:val="28"/>
          <w:highlight w:val="white"/>
          <w:lang w:eastAsia="vi-VN"/>
        </w:rPr>
        <w:t>:</w:t>
      </w:r>
      <w:r w:rsidR="000A6A15" w:rsidRPr="00E71364">
        <w:rPr>
          <w:rFonts w:ascii="Times New Roman" w:eastAsia="Times New Roman" w:hAnsi="Times New Roman" w:cs="Times New Roman"/>
          <w:sz w:val="28"/>
          <w:szCs w:val="28"/>
          <w:highlight w:val="white"/>
          <w:lang w:eastAsia="vi-VN"/>
        </w:rPr>
        <w:t xml:space="preserve"> (i) C</w:t>
      </w:r>
      <w:r w:rsidRPr="00E71364">
        <w:rPr>
          <w:rFonts w:ascii="Times New Roman" w:eastAsia="Times New Roman" w:hAnsi="Times New Roman" w:cs="Times New Roman"/>
          <w:sz w:val="28"/>
          <w:szCs w:val="28"/>
          <w:highlight w:val="white"/>
          <w:lang w:eastAsia="vi-VN"/>
        </w:rPr>
        <w:t>hỉ số ngăn ngừa xung đột lợi ích</w:t>
      </w:r>
      <w:r w:rsidR="000A6A15" w:rsidRPr="00E71364">
        <w:rPr>
          <w:rFonts w:ascii="Times New Roman" w:eastAsia="Times New Roman" w:hAnsi="Times New Roman" w:cs="Times New Roman"/>
          <w:sz w:val="28"/>
          <w:szCs w:val="28"/>
          <w:highlight w:val="white"/>
          <w:lang w:eastAsia="vi-VN"/>
        </w:rPr>
        <w:t xml:space="preserve"> và (ii) C</w:t>
      </w:r>
      <w:r w:rsidRPr="00E71364">
        <w:rPr>
          <w:rFonts w:ascii="Times New Roman" w:eastAsia="Times New Roman" w:hAnsi="Times New Roman" w:cs="Times New Roman"/>
          <w:sz w:val="28"/>
          <w:szCs w:val="28"/>
          <w:highlight w:val="white"/>
          <w:lang w:eastAsia="vi-VN"/>
        </w:rPr>
        <w:t>hỉ số quản trị của cổ đông</w:t>
      </w:r>
      <w:r w:rsidRPr="00E71364">
        <w:rPr>
          <w:rStyle w:val="FootnoteReference"/>
          <w:rFonts w:ascii="Times New Roman" w:eastAsia="Times New Roman" w:hAnsi="Times New Roman" w:cs="Times New Roman"/>
          <w:sz w:val="28"/>
          <w:szCs w:val="28"/>
          <w:highlight w:val="white"/>
          <w:lang w:eastAsia="vi-VN"/>
        </w:rPr>
        <w:footnoteReference w:id="2"/>
      </w:r>
      <w:r w:rsidRPr="00E71364">
        <w:rPr>
          <w:rFonts w:ascii="Times New Roman" w:eastAsia="Times New Roman" w:hAnsi="Times New Roman" w:cs="Times New Roman"/>
          <w:sz w:val="28"/>
          <w:szCs w:val="28"/>
          <w:highlight w:val="white"/>
          <w:lang w:eastAsia="vi-VN"/>
        </w:rPr>
        <w:t xml:space="preserve">. </w:t>
      </w:r>
      <w:r w:rsidR="000A6A15" w:rsidRPr="00E71364">
        <w:rPr>
          <w:rFonts w:ascii="Times New Roman" w:eastAsia="Times New Roman" w:hAnsi="Times New Roman" w:cs="Times New Roman"/>
          <w:sz w:val="28"/>
          <w:szCs w:val="28"/>
          <w:highlight w:val="white"/>
          <w:lang w:eastAsia="vi-VN"/>
        </w:rPr>
        <w:t>Mỗi chỉ số này lại bao gồm</w:t>
      </w:r>
      <w:r w:rsidRPr="00E71364">
        <w:rPr>
          <w:rFonts w:ascii="Times New Roman" w:eastAsia="Times New Roman" w:hAnsi="Times New Roman" w:cs="Times New Roman"/>
          <w:sz w:val="28"/>
          <w:szCs w:val="28"/>
          <w:highlight w:val="white"/>
          <w:lang w:eastAsia="vi-VN"/>
        </w:rPr>
        <w:t xml:space="preserve"> các trụ cột cấu thành khác nhau, </w:t>
      </w:r>
      <w:r w:rsidR="002978F5" w:rsidRPr="00E71364">
        <w:rPr>
          <w:rFonts w:ascii="Times New Roman" w:eastAsia="Times New Roman" w:hAnsi="Times New Roman" w:cs="Times New Roman"/>
          <w:sz w:val="28"/>
          <w:szCs w:val="28"/>
          <w:highlight w:val="white"/>
          <w:lang w:eastAsia="vi-VN"/>
        </w:rPr>
        <w:t xml:space="preserve">bao </w:t>
      </w:r>
      <w:r w:rsidRPr="00E71364">
        <w:rPr>
          <w:rFonts w:ascii="Times New Roman" w:eastAsia="Times New Roman" w:hAnsi="Times New Roman" w:cs="Times New Roman"/>
          <w:sz w:val="28"/>
          <w:szCs w:val="28"/>
          <w:highlight w:val="white"/>
          <w:lang w:eastAsia="vi-VN"/>
        </w:rPr>
        <w:t>gồm 6 trụ cột sau</w:t>
      </w:r>
      <w:r w:rsidR="005C37F2" w:rsidRPr="00E71364">
        <w:rPr>
          <w:rFonts w:ascii="Times New Roman" w:eastAsia="Times New Roman" w:hAnsi="Times New Roman" w:cs="Times New Roman"/>
          <w:sz w:val="28"/>
          <w:szCs w:val="28"/>
          <w:highlight w:val="white"/>
          <w:lang w:eastAsia="vi-VN"/>
        </w:rPr>
        <w:t>:</w:t>
      </w:r>
    </w:p>
    <w:p w:rsidR="00DB793D" w:rsidRPr="00E71364" w:rsidRDefault="00DB793D" w:rsidP="005C37F2">
      <w:pPr>
        <w:spacing w:before="120" w:after="120" w:line="276" w:lineRule="auto"/>
        <w:ind w:firstLine="720"/>
        <w:jc w:val="both"/>
        <w:rPr>
          <w:rFonts w:ascii="Times New Roman" w:hAnsi="Times New Roman" w:cs="Times New Roman"/>
          <w:i/>
          <w:iCs/>
          <w:sz w:val="28"/>
          <w:szCs w:val="28"/>
        </w:rPr>
      </w:pPr>
      <w:r w:rsidRPr="00E71364">
        <w:rPr>
          <w:rFonts w:ascii="Times New Roman" w:hAnsi="Times New Roman" w:cs="Times New Roman"/>
          <w:i/>
          <w:iCs/>
          <w:sz w:val="28"/>
          <w:szCs w:val="28"/>
        </w:rPr>
        <w:t xml:space="preserve">(i) Sự minh bạch trong giao dịch với các bên liên quan </w:t>
      </w:r>
    </w:p>
    <w:p w:rsidR="00DB793D" w:rsidRPr="00E71364" w:rsidRDefault="00DB793D" w:rsidP="005C37F2">
      <w:pPr>
        <w:spacing w:before="120" w:after="120" w:line="276" w:lineRule="auto"/>
        <w:ind w:firstLine="720"/>
        <w:jc w:val="both"/>
        <w:rPr>
          <w:rFonts w:ascii="Times New Roman" w:hAnsi="Times New Roman" w:cs="Times New Roman"/>
          <w:i/>
          <w:iCs/>
          <w:sz w:val="28"/>
          <w:szCs w:val="28"/>
        </w:rPr>
      </w:pPr>
      <w:r w:rsidRPr="00E71364">
        <w:rPr>
          <w:rFonts w:ascii="Times New Roman" w:hAnsi="Times New Roman" w:cs="Times New Roman"/>
          <w:sz w:val="28"/>
          <w:szCs w:val="28"/>
        </w:rPr>
        <w:t>Trụ cột này tập trung đánh giá mức độ công khai, minh bạch đối với giao dịch tư lợ</w:t>
      </w:r>
      <w:r w:rsidR="005C37F2" w:rsidRPr="00E71364">
        <w:rPr>
          <w:rFonts w:ascii="Times New Roman" w:hAnsi="Times New Roman" w:cs="Times New Roman"/>
          <w:sz w:val="28"/>
          <w:szCs w:val="28"/>
        </w:rPr>
        <w:t xml:space="preserve">i (được </w:t>
      </w:r>
      <w:r w:rsidRPr="00E71364">
        <w:rPr>
          <w:rFonts w:ascii="Times New Roman" w:hAnsi="Times New Roman" w:cs="Times New Roman"/>
          <w:sz w:val="28"/>
          <w:szCs w:val="28"/>
        </w:rPr>
        <w:t xml:space="preserve">yêu cầu cả </w:t>
      </w:r>
      <w:r w:rsidRPr="00E71364">
        <w:rPr>
          <w:rFonts w:ascii="Times New Roman" w:hAnsi="Times New Roman" w:cs="Times New Roman"/>
          <w:bCs/>
          <w:iCs/>
          <w:sz w:val="28"/>
          <w:szCs w:val="28"/>
        </w:rPr>
        <w:t>trước khi giao dịch được thông qua</w:t>
      </w:r>
      <w:r w:rsidRPr="00E71364">
        <w:rPr>
          <w:rFonts w:ascii="Times New Roman" w:hAnsi="Times New Roman" w:cs="Times New Roman"/>
          <w:sz w:val="28"/>
          <w:szCs w:val="28"/>
        </w:rPr>
        <w:t xml:space="preserve"> và cả </w:t>
      </w:r>
      <w:r w:rsidRPr="00E71364">
        <w:rPr>
          <w:rFonts w:ascii="Times New Roman" w:hAnsi="Times New Roman" w:cs="Times New Roman"/>
          <w:bCs/>
          <w:iCs/>
          <w:sz w:val="28"/>
          <w:szCs w:val="28"/>
        </w:rPr>
        <w:t>sau khi giao dịch được thông qua</w:t>
      </w:r>
      <w:r w:rsidR="005C37F2" w:rsidRPr="00E71364">
        <w:rPr>
          <w:rFonts w:ascii="Times New Roman" w:hAnsi="Times New Roman" w:cs="Times New Roman"/>
          <w:bCs/>
          <w:iCs/>
          <w:sz w:val="28"/>
          <w:szCs w:val="28"/>
        </w:rPr>
        <w:t>)</w:t>
      </w:r>
      <w:r w:rsidRPr="00E71364">
        <w:rPr>
          <w:rFonts w:ascii="Times New Roman" w:hAnsi="Times New Roman" w:cs="Times New Roman"/>
          <w:sz w:val="28"/>
          <w:szCs w:val="28"/>
        </w:rPr>
        <w:t>.</w:t>
      </w:r>
      <w:r w:rsidR="005C37F2" w:rsidRPr="00E71364">
        <w:rPr>
          <w:rFonts w:ascii="Times New Roman" w:hAnsi="Times New Roman" w:cs="Times New Roman"/>
          <w:i/>
          <w:iCs/>
          <w:sz w:val="28"/>
          <w:szCs w:val="28"/>
        </w:rPr>
        <w:t xml:space="preserve"> </w:t>
      </w:r>
      <w:r w:rsidRPr="00E71364">
        <w:rPr>
          <w:rFonts w:ascii="Times New Roman" w:hAnsi="Times New Roman" w:cs="Times New Roman"/>
          <w:sz w:val="28"/>
          <w:szCs w:val="28"/>
        </w:rPr>
        <w:t>Trước khi giao dịch được thông qua, Ngân hàng thế giới kiến nghị Đại hội đồng cổ đông nên là cơ quan thông qua các giao dịch này; đồng thời cần có tổ chức độc lập ngoài công ty rà soát chi tiết các điều khoản của giao dịch, đảm bảo công bằng, không gây thiệt hại cho cổ</w:t>
      </w:r>
      <w:r w:rsidR="005C37F2" w:rsidRPr="00E71364">
        <w:rPr>
          <w:rFonts w:ascii="Times New Roman" w:hAnsi="Times New Roman" w:cs="Times New Roman"/>
          <w:sz w:val="28"/>
          <w:szCs w:val="28"/>
        </w:rPr>
        <w:t xml:space="preserve"> đông</w:t>
      </w:r>
      <w:r w:rsidRPr="00E71364">
        <w:rPr>
          <w:rFonts w:ascii="Times New Roman" w:hAnsi="Times New Roman" w:cs="Times New Roman"/>
          <w:sz w:val="28"/>
          <w:szCs w:val="28"/>
        </w:rPr>
        <w:t xml:space="preserve">. Sau khi giao dịch được </w:t>
      </w:r>
      <w:r w:rsidRPr="00E71364">
        <w:rPr>
          <w:rFonts w:ascii="Times New Roman" w:hAnsi="Times New Roman" w:cs="Times New Roman"/>
          <w:sz w:val="28"/>
          <w:szCs w:val="28"/>
        </w:rPr>
        <w:lastRenderedPageBreak/>
        <w:t>thông qua, công ty sẽ được yêu cầu công khai tất cả lợi ích liên quan và chi tiết giao dịch một cách đầy đủ và kịp thời.</w:t>
      </w:r>
    </w:p>
    <w:p w:rsidR="00DB793D" w:rsidRPr="00E71364" w:rsidRDefault="00DB793D" w:rsidP="005C37F2">
      <w:pPr>
        <w:spacing w:before="120" w:after="120" w:line="276" w:lineRule="auto"/>
        <w:ind w:firstLine="720"/>
        <w:jc w:val="both"/>
        <w:rPr>
          <w:rFonts w:ascii="Times New Roman" w:hAnsi="Times New Roman" w:cs="Times New Roman"/>
          <w:i/>
          <w:iCs/>
          <w:sz w:val="28"/>
          <w:szCs w:val="28"/>
        </w:rPr>
      </w:pPr>
      <w:r w:rsidRPr="00E71364">
        <w:rPr>
          <w:rFonts w:ascii="Times New Roman" w:hAnsi="Times New Roman" w:cs="Times New Roman"/>
          <w:i/>
          <w:iCs/>
          <w:sz w:val="28"/>
          <w:szCs w:val="28"/>
        </w:rPr>
        <w:t>(ii) Trách nhiệm của người quản lý</w:t>
      </w:r>
    </w:p>
    <w:p w:rsidR="00DB793D" w:rsidRPr="00E71364" w:rsidRDefault="00DB793D" w:rsidP="005C37F2">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 xml:space="preserve">Trụ cột này nhằm ngăn chặn giao dịch tư lợi bằng việc quy định rõ ràng về trách nhiệm của các thành viên Hội đông quản trị và quyền khởi kiện của các cổ đông. Cụ thể, cổ đông sở hữu số lượng cổ phần nhất định phải có quyền khởi kiện các thành viên Hội đông quản trị. </w:t>
      </w:r>
      <w:r w:rsidR="003E383C" w:rsidRPr="00E71364">
        <w:rPr>
          <w:rFonts w:ascii="Times New Roman" w:hAnsi="Times New Roman" w:cs="Times New Roman"/>
          <w:sz w:val="28"/>
          <w:szCs w:val="28"/>
        </w:rPr>
        <w:t>Ngoài ra,</w:t>
      </w:r>
      <w:r w:rsidRPr="00E71364">
        <w:rPr>
          <w:rFonts w:ascii="Times New Roman" w:hAnsi="Times New Roman" w:cs="Times New Roman"/>
          <w:sz w:val="28"/>
          <w:szCs w:val="28"/>
        </w:rPr>
        <w:t xml:space="preserve"> trách nhiệm </w:t>
      </w:r>
      <w:r w:rsidR="003E383C" w:rsidRPr="00E71364">
        <w:rPr>
          <w:rFonts w:ascii="Times New Roman" w:hAnsi="Times New Roman" w:cs="Times New Roman"/>
          <w:sz w:val="28"/>
          <w:szCs w:val="28"/>
        </w:rPr>
        <w:t>của</w:t>
      </w:r>
      <w:r w:rsidRPr="00E71364">
        <w:rPr>
          <w:rFonts w:ascii="Times New Roman" w:hAnsi="Times New Roman" w:cs="Times New Roman"/>
          <w:sz w:val="28"/>
          <w:szCs w:val="28"/>
        </w:rPr>
        <w:t xml:space="preserve"> các thành viên </w:t>
      </w:r>
      <w:r w:rsidR="003E383C" w:rsidRPr="00E71364">
        <w:rPr>
          <w:rFonts w:ascii="Times New Roman" w:hAnsi="Times New Roman" w:cs="Times New Roman"/>
          <w:sz w:val="28"/>
          <w:szCs w:val="28"/>
        </w:rPr>
        <w:t>Hội đông quản trị</w:t>
      </w:r>
      <w:r w:rsidRPr="00E71364">
        <w:rPr>
          <w:rFonts w:ascii="Times New Roman" w:hAnsi="Times New Roman" w:cs="Times New Roman"/>
          <w:sz w:val="28"/>
          <w:szCs w:val="28"/>
        </w:rPr>
        <w:t xml:space="preserve"> phải được quy đị</w:t>
      </w:r>
      <w:r w:rsidR="003E383C" w:rsidRPr="00E71364">
        <w:rPr>
          <w:rFonts w:ascii="Times New Roman" w:hAnsi="Times New Roman" w:cs="Times New Roman"/>
          <w:sz w:val="28"/>
          <w:szCs w:val="28"/>
        </w:rPr>
        <w:t>nh rõ r</w:t>
      </w:r>
      <w:r w:rsidR="00F466B5" w:rsidRPr="00E71364">
        <w:rPr>
          <w:rFonts w:ascii="Times New Roman" w:hAnsi="Times New Roman" w:cs="Times New Roman"/>
          <w:sz w:val="28"/>
          <w:szCs w:val="28"/>
        </w:rPr>
        <w:t>à</w:t>
      </w:r>
      <w:r w:rsidR="003E383C" w:rsidRPr="00E71364">
        <w:rPr>
          <w:rFonts w:ascii="Times New Roman" w:hAnsi="Times New Roman" w:cs="Times New Roman"/>
          <w:sz w:val="28"/>
          <w:szCs w:val="28"/>
        </w:rPr>
        <w:t>ng, bao</w:t>
      </w:r>
      <w:r w:rsidRPr="00E71364">
        <w:rPr>
          <w:rFonts w:ascii="Times New Roman" w:hAnsi="Times New Roman" w:cs="Times New Roman"/>
          <w:sz w:val="28"/>
          <w:szCs w:val="28"/>
        </w:rPr>
        <w:t xml:space="preserve"> gồm bồi thường thiệt hại và hoàn trả các lợi ích thu được nếu cổ đông khởi kiệ</w:t>
      </w:r>
      <w:r w:rsidR="00F466B5" w:rsidRPr="00E71364">
        <w:rPr>
          <w:rFonts w:ascii="Times New Roman" w:hAnsi="Times New Roman" w:cs="Times New Roman"/>
          <w:sz w:val="28"/>
          <w:szCs w:val="28"/>
        </w:rPr>
        <w:t>n thành công</w:t>
      </w:r>
      <w:r w:rsidRPr="00E71364">
        <w:rPr>
          <w:rFonts w:ascii="Times New Roman" w:hAnsi="Times New Roman" w:cs="Times New Roman"/>
          <w:sz w:val="28"/>
          <w:szCs w:val="28"/>
        </w:rPr>
        <w:t xml:space="preserve">. </w:t>
      </w:r>
    </w:p>
    <w:p w:rsidR="00DB793D" w:rsidRPr="00E71364" w:rsidRDefault="00DB793D" w:rsidP="005C37F2">
      <w:pPr>
        <w:spacing w:before="120" w:after="120" w:line="276" w:lineRule="auto"/>
        <w:ind w:firstLine="720"/>
        <w:jc w:val="both"/>
        <w:rPr>
          <w:rFonts w:ascii="Times New Roman" w:hAnsi="Times New Roman" w:cs="Times New Roman"/>
          <w:i/>
          <w:iCs/>
          <w:sz w:val="28"/>
          <w:szCs w:val="28"/>
        </w:rPr>
      </w:pPr>
      <w:r w:rsidRPr="00E71364">
        <w:rPr>
          <w:rFonts w:ascii="Times New Roman" w:hAnsi="Times New Roman" w:cs="Times New Roman"/>
          <w:i/>
          <w:iCs/>
          <w:sz w:val="28"/>
          <w:szCs w:val="28"/>
        </w:rPr>
        <w:t>(iii) Mức độ dễ dàng khởi kiện của cổ đông</w:t>
      </w:r>
    </w:p>
    <w:p w:rsidR="00DB793D" w:rsidRPr="00E71364" w:rsidRDefault="003E383C" w:rsidP="005C37F2">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Trụ cột này</w:t>
      </w:r>
      <w:r w:rsidR="00DB793D" w:rsidRPr="00E71364">
        <w:rPr>
          <w:rFonts w:ascii="Times New Roman" w:hAnsi="Times New Roman" w:cs="Times New Roman"/>
          <w:sz w:val="28"/>
          <w:szCs w:val="28"/>
        </w:rPr>
        <w:t xml:space="preserve"> tập trung vào việc quy định sao cho cổ đông được khởi kiện một cách dễ dàng, nhanh chóng và tốn ít chi phí nhất. Sự thuận lợi ở đây thể hiện ở việc</w:t>
      </w:r>
      <w:r w:rsidRPr="00E71364">
        <w:rPr>
          <w:rFonts w:ascii="Times New Roman" w:hAnsi="Times New Roman" w:cs="Times New Roman"/>
          <w:sz w:val="28"/>
          <w:szCs w:val="28"/>
        </w:rPr>
        <w:t xml:space="preserve"> cổ đông </w:t>
      </w:r>
      <w:r w:rsidR="00DB793D" w:rsidRPr="00E71364">
        <w:rPr>
          <w:rFonts w:ascii="Times New Roman" w:hAnsi="Times New Roman" w:cs="Times New Roman"/>
          <w:sz w:val="28"/>
          <w:szCs w:val="28"/>
        </w:rPr>
        <w:t xml:space="preserve">được quyền tiếp cận tài liệu, chứng cứ có liên quan về hành vi của </w:t>
      </w:r>
      <w:r w:rsidRPr="00E71364">
        <w:rPr>
          <w:rFonts w:ascii="Times New Roman" w:hAnsi="Times New Roman" w:cs="Times New Roman"/>
          <w:sz w:val="28"/>
          <w:szCs w:val="28"/>
        </w:rPr>
        <w:t xml:space="preserve">Hội đông quản trị; </w:t>
      </w:r>
      <w:r w:rsidR="00DB793D" w:rsidRPr="00E71364">
        <w:rPr>
          <w:rFonts w:ascii="Times New Roman" w:hAnsi="Times New Roman" w:cs="Times New Roman"/>
          <w:sz w:val="28"/>
          <w:szCs w:val="28"/>
        </w:rPr>
        <w:t>được quyền chất vấn trực tiếp bị đơn và nhân chứ</w:t>
      </w:r>
      <w:r w:rsidRPr="00E71364">
        <w:rPr>
          <w:rFonts w:ascii="Times New Roman" w:hAnsi="Times New Roman" w:cs="Times New Roman"/>
          <w:sz w:val="28"/>
          <w:szCs w:val="28"/>
        </w:rPr>
        <w:t xml:space="preserve">ng; và </w:t>
      </w:r>
      <w:r w:rsidR="00DB793D" w:rsidRPr="00E71364">
        <w:rPr>
          <w:rFonts w:ascii="Times New Roman" w:hAnsi="Times New Roman" w:cs="Times New Roman"/>
          <w:spacing w:val="-4"/>
          <w:sz w:val="28"/>
          <w:szCs w:val="28"/>
        </w:rPr>
        <w:t>gánh nặng chứng minh và gánh nặng chi phí khởi kiện phải được quy định thấp hơn</w:t>
      </w:r>
      <w:r w:rsidR="00DB793D" w:rsidRPr="00E71364">
        <w:rPr>
          <w:rFonts w:ascii="Times New Roman" w:hAnsi="Times New Roman" w:cs="Times New Roman"/>
          <w:sz w:val="28"/>
          <w:szCs w:val="28"/>
        </w:rPr>
        <w:t>.</w:t>
      </w:r>
    </w:p>
    <w:p w:rsidR="00DB793D" w:rsidRPr="00E71364" w:rsidRDefault="003E383C" w:rsidP="005C37F2">
      <w:pPr>
        <w:spacing w:before="120" w:after="120" w:line="276" w:lineRule="auto"/>
        <w:ind w:firstLine="720"/>
        <w:jc w:val="both"/>
        <w:rPr>
          <w:rFonts w:ascii="Times New Roman" w:hAnsi="Times New Roman" w:cs="Times New Roman"/>
          <w:i/>
          <w:iCs/>
          <w:sz w:val="28"/>
          <w:szCs w:val="28"/>
        </w:rPr>
      </w:pPr>
      <w:r w:rsidRPr="00E71364">
        <w:rPr>
          <w:rFonts w:ascii="Times New Roman" w:hAnsi="Times New Roman" w:cs="Times New Roman"/>
          <w:i/>
          <w:iCs/>
          <w:sz w:val="28"/>
          <w:szCs w:val="28"/>
        </w:rPr>
        <w:t xml:space="preserve"> </w:t>
      </w:r>
      <w:r w:rsidR="00DB793D" w:rsidRPr="00E71364">
        <w:rPr>
          <w:rFonts w:ascii="Times New Roman" w:hAnsi="Times New Roman" w:cs="Times New Roman"/>
          <w:i/>
          <w:iCs/>
          <w:sz w:val="28"/>
          <w:szCs w:val="28"/>
        </w:rPr>
        <w:t>(iv) Quyền của cổ đông</w:t>
      </w:r>
    </w:p>
    <w:p w:rsidR="00DB793D" w:rsidRPr="00E71364" w:rsidRDefault="00DB793D" w:rsidP="005C37F2">
      <w:pPr>
        <w:spacing w:before="120" w:after="120" w:line="276" w:lineRule="auto"/>
        <w:ind w:firstLine="720"/>
        <w:jc w:val="both"/>
        <w:rPr>
          <w:rFonts w:ascii="Times New Roman" w:hAnsi="Times New Roman" w:cs="Times New Roman"/>
          <w:iCs/>
          <w:sz w:val="28"/>
          <w:szCs w:val="28"/>
        </w:rPr>
      </w:pPr>
      <w:r w:rsidRPr="00E71364">
        <w:rPr>
          <w:rFonts w:ascii="Times New Roman" w:hAnsi="Times New Roman" w:cs="Times New Roman"/>
          <w:sz w:val="28"/>
          <w:szCs w:val="28"/>
        </w:rPr>
        <w:t xml:space="preserve">Trụ cột </w:t>
      </w:r>
      <w:r w:rsidR="003E383C" w:rsidRPr="00E71364">
        <w:rPr>
          <w:rFonts w:ascii="Times New Roman" w:hAnsi="Times New Roman" w:cs="Times New Roman"/>
          <w:sz w:val="28"/>
          <w:szCs w:val="28"/>
        </w:rPr>
        <w:t xml:space="preserve">này </w:t>
      </w:r>
      <w:r w:rsidRPr="00E71364">
        <w:rPr>
          <w:rFonts w:ascii="Times New Roman" w:hAnsi="Times New Roman" w:cs="Times New Roman"/>
          <w:sz w:val="28"/>
          <w:szCs w:val="28"/>
        </w:rPr>
        <w:t xml:space="preserve">hướng đến các quy định về quyền của cổ đông trong việc ra quyết định quan trọng của công ty. Các câu hỏi tập trung vào một số quyền quan trọng của cổ đông như: quyền quyết định đối với bán tài sản trị giá trên 51% tổng tài sản; quyền triệu tập họp </w:t>
      </w:r>
      <w:r w:rsidR="003E383C" w:rsidRPr="00E71364">
        <w:rPr>
          <w:rFonts w:ascii="Times New Roman" w:hAnsi="Times New Roman" w:cs="Times New Roman"/>
          <w:sz w:val="28"/>
          <w:szCs w:val="28"/>
        </w:rPr>
        <w:t>Đại hội đồng cổ đông;</w:t>
      </w:r>
      <w:r w:rsidRPr="00E71364">
        <w:rPr>
          <w:rFonts w:ascii="Times New Roman" w:hAnsi="Times New Roman" w:cs="Times New Roman"/>
          <w:sz w:val="28"/>
          <w:szCs w:val="28"/>
        </w:rPr>
        <w:t xml:space="preserve"> quyền quyết định với phát hành cổ phần, ưu tiên mua cổ phầ</w:t>
      </w:r>
      <w:r w:rsidR="00F466B5" w:rsidRPr="00E71364">
        <w:rPr>
          <w:rFonts w:ascii="Times New Roman" w:hAnsi="Times New Roman" w:cs="Times New Roman"/>
          <w:sz w:val="28"/>
          <w:szCs w:val="28"/>
        </w:rPr>
        <w:t>n phát hành; …</w:t>
      </w:r>
    </w:p>
    <w:p w:rsidR="00DB793D" w:rsidRPr="00E71364" w:rsidRDefault="00DB793D" w:rsidP="005C37F2">
      <w:pPr>
        <w:spacing w:before="120" w:after="120" w:line="276" w:lineRule="auto"/>
        <w:ind w:firstLine="720"/>
        <w:jc w:val="both"/>
        <w:rPr>
          <w:rFonts w:ascii="Times New Roman" w:hAnsi="Times New Roman" w:cs="Times New Roman"/>
          <w:i/>
          <w:iCs/>
          <w:sz w:val="28"/>
          <w:szCs w:val="28"/>
        </w:rPr>
      </w:pPr>
      <w:r w:rsidRPr="00E71364">
        <w:rPr>
          <w:rFonts w:ascii="Times New Roman" w:hAnsi="Times New Roman" w:cs="Times New Roman"/>
          <w:i/>
          <w:iCs/>
          <w:sz w:val="28"/>
          <w:szCs w:val="28"/>
        </w:rPr>
        <w:t>(v) Mức độ sở hữu và kiểm soát</w:t>
      </w:r>
    </w:p>
    <w:p w:rsidR="00DB793D" w:rsidRPr="00E71364" w:rsidRDefault="00DB793D" w:rsidP="005C37F2">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 xml:space="preserve">Trụ cột này hướng tới đánh giá các quy định nhằm ngăn cản sự kiểm soát, tập trung quyền lực của </w:t>
      </w:r>
      <w:r w:rsidR="003E383C" w:rsidRPr="00E71364">
        <w:rPr>
          <w:rFonts w:ascii="Times New Roman" w:hAnsi="Times New Roman" w:cs="Times New Roman"/>
          <w:sz w:val="28"/>
          <w:szCs w:val="28"/>
        </w:rPr>
        <w:t>Hội đồng quản trị</w:t>
      </w:r>
      <w:r w:rsidRPr="00E71364">
        <w:rPr>
          <w:rFonts w:ascii="Times New Roman" w:hAnsi="Times New Roman" w:cs="Times New Roman"/>
          <w:sz w:val="28"/>
          <w:szCs w:val="28"/>
        </w:rPr>
        <w:t xml:space="preserve">. Các thực tiễn tốt đối với trụ cột này cũng rất rõ ràng như: không có sự kiêm nhiệm giữa vị trí chủ tịch </w:t>
      </w:r>
      <w:r w:rsidR="003E383C" w:rsidRPr="00E71364">
        <w:rPr>
          <w:rFonts w:ascii="Times New Roman" w:hAnsi="Times New Roman" w:cs="Times New Roman"/>
          <w:sz w:val="28"/>
          <w:szCs w:val="28"/>
        </w:rPr>
        <w:t>Hội đồng quản trị</w:t>
      </w:r>
      <w:r w:rsidRPr="00E71364">
        <w:rPr>
          <w:rFonts w:ascii="Times New Roman" w:hAnsi="Times New Roman" w:cs="Times New Roman"/>
          <w:sz w:val="28"/>
          <w:szCs w:val="28"/>
        </w:rPr>
        <w:t xml:space="preserve"> với Giám đốc, quyền miễn nhiệm thành viên </w:t>
      </w:r>
      <w:r w:rsidR="003E383C" w:rsidRPr="00E71364">
        <w:rPr>
          <w:rFonts w:ascii="Times New Roman" w:hAnsi="Times New Roman" w:cs="Times New Roman"/>
          <w:sz w:val="28"/>
          <w:szCs w:val="28"/>
        </w:rPr>
        <w:t>Hội đồng quản trị</w:t>
      </w:r>
      <w:r w:rsidRPr="00E71364">
        <w:rPr>
          <w:rFonts w:ascii="Times New Roman" w:hAnsi="Times New Roman" w:cs="Times New Roman"/>
          <w:sz w:val="28"/>
          <w:szCs w:val="28"/>
        </w:rPr>
        <w:t xml:space="preserve"> của cổ đông, yêu cầu phải có thành viên Hội đồng quản trị độc lập và không điều hành, quy định về chào mua công khai nhằm tránh </w:t>
      </w:r>
      <w:r w:rsidR="003E383C" w:rsidRPr="00E71364">
        <w:rPr>
          <w:rFonts w:ascii="Times New Roman" w:hAnsi="Times New Roman" w:cs="Times New Roman"/>
          <w:sz w:val="28"/>
          <w:szCs w:val="28"/>
        </w:rPr>
        <w:t>Hội đồng quản trị</w:t>
      </w:r>
      <w:r w:rsidRPr="00E71364">
        <w:rPr>
          <w:rFonts w:ascii="Times New Roman" w:hAnsi="Times New Roman" w:cs="Times New Roman"/>
          <w:sz w:val="28"/>
          <w:szCs w:val="28"/>
        </w:rPr>
        <w:t xml:space="preserve"> thực hiện hành động nhằm bảo vệ vị trí của mình trước hoạt động mua bán, sáp nhập công ty… </w:t>
      </w:r>
    </w:p>
    <w:p w:rsidR="00DB793D" w:rsidRPr="00E71364" w:rsidRDefault="00DB793D" w:rsidP="005C37F2">
      <w:pPr>
        <w:spacing w:before="120" w:after="120" w:line="276" w:lineRule="auto"/>
        <w:ind w:firstLine="720"/>
        <w:jc w:val="both"/>
        <w:rPr>
          <w:rFonts w:ascii="Times New Roman" w:hAnsi="Times New Roman" w:cs="Times New Roman"/>
          <w:i/>
          <w:iCs/>
          <w:sz w:val="28"/>
          <w:szCs w:val="28"/>
        </w:rPr>
      </w:pPr>
      <w:r w:rsidRPr="00E71364">
        <w:rPr>
          <w:rFonts w:ascii="Times New Roman" w:hAnsi="Times New Roman" w:cs="Times New Roman"/>
          <w:i/>
          <w:iCs/>
          <w:sz w:val="28"/>
          <w:szCs w:val="28"/>
        </w:rPr>
        <w:t>(vi) Mức độ minh bạch của công ty</w:t>
      </w:r>
    </w:p>
    <w:p w:rsidR="00DB793D" w:rsidRPr="00E71364" w:rsidRDefault="00DB793D" w:rsidP="005C37F2">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 xml:space="preserve">Công khai, minh bạch của công ty trong trường hợp này là công khai minh bạch về sở hữu của công ty và thành viên </w:t>
      </w:r>
      <w:r w:rsidR="003E383C" w:rsidRPr="00E71364">
        <w:rPr>
          <w:rFonts w:ascii="Times New Roman" w:hAnsi="Times New Roman" w:cs="Times New Roman"/>
          <w:sz w:val="28"/>
          <w:szCs w:val="28"/>
        </w:rPr>
        <w:t>Hội đồng quản trị</w:t>
      </w:r>
      <w:r w:rsidRPr="00E71364">
        <w:rPr>
          <w:rFonts w:ascii="Times New Roman" w:hAnsi="Times New Roman" w:cs="Times New Roman"/>
          <w:sz w:val="28"/>
          <w:szCs w:val="28"/>
        </w:rPr>
        <w:t xml:space="preserve">, thù lao của thành viên </w:t>
      </w:r>
      <w:r w:rsidR="003E383C" w:rsidRPr="00E71364">
        <w:rPr>
          <w:rFonts w:ascii="Times New Roman" w:hAnsi="Times New Roman" w:cs="Times New Roman"/>
          <w:sz w:val="28"/>
          <w:szCs w:val="28"/>
        </w:rPr>
        <w:t>Hội đồng quản trị</w:t>
      </w:r>
      <w:r w:rsidRPr="00E71364">
        <w:rPr>
          <w:rFonts w:ascii="Times New Roman" w:hAnsi="Times New Roman" w:cs="Times New Roman"/>
          <w:sz w:val="28"/>
          <w:szCs w:val="28"/>
        </w:rPr>
        <w:t xml:space="preserve">, kiểm toán độc lập báo cáo tài chính và công khai báo cáo kiểm toán cho công chúng. Ngoài ra, trụ cột này còn bao gồm quy định về trình </w:t>
      </w:r>
      <w:r w:rsidRPr="00E71364">
        <w:rPr>
          <w:rFonts w:ascii="Times New Roman" w:hAnsi="Times New Roman" w:cs="Times New Roman"/>
          <w:sz w:val="28"/>
          <w:szCs w:val="28"/>
        </w:rPr>
        <w:lastRenderedPageBreak/>
        <w:t xml:space="preserve">tự, thủ tục họp </w:t>
      </w:r>
      <w:r w:rsidR="003E383C" w:rsidRPr="00E71364">
        <w:rPr>
          <w:rFonts w:ascii="Times New Roman" w:hAnsi="Times New Roman" w:cs="Times New Roman"/>
          <w:sz w:val="28"/>
          <w:szCs w:val="28"/>
        </w:rPr>
        <w:t>Đại hội đồng cổ đông</w:t>
      </w:r>
      <w:r w:rsidRPr="00E71364">
        <w:rPr>
          <w:rFonts w:ascii="Times New Roman" w:hAnsi="Times New Roman" w:cs="Times New Roman"/>
          <w:sz w:val="28"/>
          <w:szCs w:val="28"/>
        </w:rPr>
        <w:t xml:space="preserve"> nhằm đảm bảo quyền của cổ đông tham gia đầy đủ vào cuộc họp </w:t>
      </w:r>
      <w:r w:rsidR="003E383C" w:rsidRPr="00E71364">
        <w:rPr>
          <w:rFonts w:ascii="Times New Roman" w:hAnsi="Times New Roman" w:cs="Times New Roman"/>
          <w:sz w:val="28"/>
          <w:szCs w:val="28"/>
        </w:rPr>
        <w:t>Đại hội đồng cổ đông</w:t>
      </w:r>
      <w:r w:rsidRPr="00E71364">
        <w:rPr>
          <w:rFonts w:ascii="Times New Roman" w:hAnsi="Times New Roman" w:cs="Times New Roman"/>
          <w:sz w:val="28"/>
          <w:szCs w:val="28"/>
        </w:rPr>
        <w:t xml:space="preserve">. </w:t>
      </w:r>
    </w:p>
    <w:p w:rsidR="00F466B5" w:rsidRPr="00E71364" w:rsidRDefault="00F466B5" w:rsidP="00F466B5">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Như vậy, 3 trụ cột đầu- cấu thành lên Chỉ số ngăn chặn xung đột lợi ích tập trung hoàn toàn vào việc ngăn chặn giao dịch tư lợ</w:t>
      </w:r>
      <w:r w:rsidR="002978F5" w:rsidRPr="00E71364">
        <w:rPr>
          <w:rFonts w:ascii="Times New Roman" w:hAnsi="Times New Roman" w:cs="Times New Roman"/>
          <w:sz w:val="28"/>
          <w:szCs w:val="28"/>
        </w:rPr>
        <w:t>i. N</w:t>
      </w:r>
      <w:r w:rsidRPr="00E71364">
        <w:rPr>
          <w:rFonts w:ascii="Times New Roman" w:hAnsi="Times New Roman" w:cs="Times New Roman"/>
          <w:sz w:val="28"/>
          <w:szCs w:val="28"/>
        </w:rPr>
        <w:t xml:space="preserve">hà nước có trách nhiệm ban hành các quy định về các yêu cầu minh bạch, trách nhiệm của cổ đông kiểm soát, Hội đồng quản trị và khởi kiện. 3 trụ cột cuối- cấu thành nên Chỉ số quản trị của cổ đông. Chỉ số này được xây dựng dựa trên những kinh nghiệm và thực tiễn tốt về quản trị công ty, có mục tiêu đánh giá quyền của cổ đông trong công ty cũng như các quy định ngăn chặn việc kiểm soát của Hội đồng quản trị. </w:t>
      </w:r>
    </w:p>
    <w:p w:rsidR="007E4E8E" w:rsidRPr="00E71364" w:rsidRDefault="002978F5" w:rsidP="00EB509E">
      <w:pPr>
        <w:pStyle w:val="ListParagraph"/>
        <w:numPr>
          <w:ilvl w:val="0"/>
          <w:numId w:val="3"/>
        </w:numPr>
        <w:spacing w:before="120" w:after="120"/>
        <w:jc w:val="both"/>
        <w:outlineLvl w:val="1"/>
        <w:rPr>
          <w:rFonts w:ascii="Times New Roman" w:eastAsia="Times New Roman" w:hAnsi="Times New Roman"/>
          <w:b/>
          <w:sz w:val="28"/>
          <w:szCs w:val="28"/>
          <w:highlight w:val="white"/>
          <w:lang w:val="vi-VN" w:eastAsia="vi-VN"/>
        </w:rPr>
      </w:pPr>
      <w:r w:rsidRPr="00E71364">
        <w:rPr>
          <w:rFonts w:ascii="Times New Roman" w:eastAsia="Times New Roman" w:hAnsi="Times New Roman"/>
          <w:b/>
          <w:sz w:val="28"/>
          <w:szCs w:val="28"/>
          <w:highlight w:val="white"/>
          <w:u w:val="wave" w:color="FF0000"/>
          <w:lang w:val="vi-VN" w:eastAsia="vi-VN"/>
        </w:rPr>
        <w:t>Những</w:t>
      </w:r>
      <w:r w:rsidR="006E26ED" w:rsidRPr="00E71364">
        <w:rPr>
          <w:rFonts w:ascii="Times New Roman" w:eastAsia="Times New Roman" w:hAnsi="Times New Roman"/>
          <w:b/>
          <w:sz w:val="28"/>
          <w:szCs w:val="28"/>
          <w:highlight w:val="white"/>
          <w:u w:val="wave" w:color="FF0000"/>
          <w:lang w:val="en-US" w:eastAsia="vi-VN"/>
        </w:rPr>
        <w:t xml:space="preserve"> </w:t>
      </w:r>
      <w:r w:rsidR="001B77D2" w:rsidRPr="00E71364">
        <w:rPr>
          <w:rFonts w:ascii="Times New Roman" w:eastAsia="Times New Roman" w:hAnsi="Times New Roman"/>
          <w:b/>
          <w:sz w:val="28"/>
          <w:szCs w:val="28"/>
          <w:highlight w:val="white"/>
          <w:u w:val="wave" w:color="FF0000"/>
          <w:lang w:val="vi-VN" w:eastAsia="vi-VN"/>
        </w:rPr>
        <w:t>b</w:t>
      </w:r>
      <w:r w:rsidR="00ED2022" w:rsidRPr="00E71364">
        <w:rPr>
          <w:rFonts w:ascii="Times New Roman" w:eastAsia="Times New Roman" w:hAnsi="Times New Roman"/>
          <w:b/>
          <w:sz w:val="28"/>
          <w:szCs w:val="28"/>
          <w:highlight w:val="white"/>
          <w:u w:val="wave" w:color="FF0000"/>
          <w:lang w:val="vi-VN" w:eastAsia="vi-VN"/>
        </w:rPr>
        <w:t>ất cập</w:t>
      </w:r>
      <w:r w:rsidR="00ED2022" w:rsidRPr="00E71364">
        <w:rPr>
          <w:rFonts w:ascii="Times New Roman" w:eastAsia="Times New Roman" w:hAnsi="Times New Roman"/>
          <w:b/>
          <w:sz w:val="28"/>
          <w:szCs w:val="28"/>
          <w:highlight w:val="white"/>
          <w:lang w:val="vi-VN" w:eastAsia="vi-VN"/>
        </w:rPr>
        <w:t>, hạn chế về bảo vệ quyền và lợi ích hợp pháp của cổ đông</w:t>
      </w:r>
    </w:p>
    <w:p w:rsidR="001B77D2" w:rsidRPr="00E71364" w:rsidRDefault="001B77D2" w:rsidP="00F466B5">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Bảo vệ cổ đông là một nội dung quan trọng nhất của khung pháp luật về quản trị công ty. Một cơ chế bảo vệ cổ đông tốt có ý nghĩa cực kỳ quan trọng đối với công ty nói riêng và thị trường tài chính, môi trường kinh doanh của cả nền kinh tế nói chung</w:t>
      </w:r>
      <w:r w:rsidR="0073724C" w:rsidRPr="00E71364">
        <w:rPr>
          <w:rFonts w:ascii="Times New Roman" w:hAnsi="Times New Roman" w:cs="Times New Roman"/>
          <w:sz w:val="28"/>
          <w:szCs w:val="28"/>
        </w:rPr>
        <w:t xml:space="preserve">. Đối với doanh nghiệp, bảo vệ cổ đông tốt sẽ giúp công ty bảo đảm giữ đúng mục tiêu tối đa hóa lợi nhuận, hạn chế các xung đột lợi ích trong công ty, qua đó tăng giá trị công ty và tăng khả năng huy động vốn từ bên ngoài. Đối với nền kinh tế, bảo vệ cổ đông tốt sẽ ảnh hưởng đến quy mô của thị trường tài chính, đảm bảo một môi trường kinh doanh minh bạch, bình đẳng về quyền lợi và nghĩa vụ giữa các cổ đông công ty. </w:t>
      </w:r>
    </w:p>
    <w:p w:rsidR="0073724C" w:rsidRPr="00E71364" w:rsidRDefault="001B77D2" w:rsidP="002978F5">
      <w:pPr>
        <w:spacing w:before="120" w:after="120" w:line="276" w:lineRule="auto"/>
        <w:ind w:firstLine="720"/>
        <w:jc w:val="both"/>
        <w:rPr>
          <w:rFonts w:ascii="Times New Roman" w:hAnsi="Times New Roman" w:cs="Times New Roman"/>
          <w:sz w:val="28"/>
          <w:szCs w:val="28"/>
          <w:lang w:val="fr-FR"/>
        </w:rPr>
      </w:pPr>
      <w:r w:rsidRPr="00E71364">
        <w:rPr>
          <w:rFonts w:ascii="Times New Roman" w:hAnsi="Times New Roman" w:cs="Times New Roman"/>
          <w:sz w:val="28"/>
          <w:szCs w:val="28"/>
        </w:rPr>
        <w:t xml:space="preserve">So với Luật Doanh nghiệp năm 2005, Luật Doanh nghiệp năm 2014 đã tạo ra cải cách đột phá về nội dung này. </w:t>
      </w:r>
      <w:r w:rsidR="0073724C" w:rsidRPr="00E71364">
        <w:rPr>
          <w:rFonts w:ascii="Times New Roman" w:hAnsi="Times New Roman" w:cs="Times New Roman"/>
          <w:sz w:val="28"/>
          <w:szCs w:val="28"/>
          <w:lang w:val="fr-FR"/>
        </w:rPr>
        <w:t xml:space="preserve">Cụ thể, Luật đã </w:t>
      </w:r>
      <w:r w:rsidR="0073724C" w:rsidRPr="00E71364">
        <w:rPr>
          <w:rFonts w:ascii="Times New Roman" w:hAnsi="Times New Roman" w:cs="Times New Roman"/>
          <w:sz w:val="28"/>
          <w:szCs w:val="28"/>
          <w:lang w:val="nl-NL"/>
        </w:rPr>
        <w:t>thay đổi cách tiếp cận đối với việc bảo vệ cổ đông nhỏ so với Luật Doanh nghiệp 2005. Theo đó, thay vì yêu cầu tỷ lệ tham dự họp để cuộc họp đủ điều kiện và tỷ lệ biểu quyết thông qua quyết định Đại hội đồng cổ đông ở mức 65% (đối với quyết định thông thường) và 75% (đối với quyết định đặc biệt), Luật đã giảm 2 mức tỷ lệ này xuống 51% và 65% nhằm giảm chi phí và tạo thuận lợi cho việc ra quyết định của công ty. Bên cạnh đó, để bảo vệ cổ đông theo thông lệ quốc tế, Luật cũng đã quy định chi tiết hơn về nghĩa vụ và trách nhiệm người quản lý công ty (nghĩa vụ trung thành, trung thực và cẩn trọng), tạo thuận lợi hơn cho cổ đông tiếp cận thông tin về tình hình hoạt động và quản lý công ty. Ngoài ra, một số quyền của Ban kiểm soát, như được quyền tham dự và thảo luận tại các cuộc họp của Hội đồng quản trị và cuộc họp khác của công ty cũng được bổ sung và quy định chi tiết hơn. Luật cũng đã quy định bổ sung yêu cầu công khai hóa thông tin kịp thời và đầy đủ như: yêu cầu công khai hóa điều lệ công ty, danh sách thành viên Hội đồng quản trị, Giám đốc/Tổng giám đốc, thành viên ban kiểm soát, cổ đông nước ngoài.</w:t>
      </w:r>
    </w:p>
    <w:p w:rsidR="007E4E8E" w:rsidRPr="00E71364" w:rsidRDefault="008E63B0" w:rsidP="005C37F2">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lang w:val="fr-FR"/>
        </w:rPr>
        <w:lastRenderedPageBreak/>
        <w:t>Những thay đổi này đã có</w:t>
      </w:r>
      <w:r w:rsidR="007E4E8E" w:rsidRPr="00E71364">
        <w:rPr>
          <w:rFonts w:ascii="Times New Roman" w:hAnsi="Times New Roman" w:cs="Times New Roman"/>
          <w:sz w:val="28"/>
          <w:szCs w:val="28"/>
          <w:lang w:val="fr-FR"/>
        </w:rPr>
        <w:t xml:space="preserve"> tác động tích cực trong tạo lập môi trường kinh doanh thuận lợi, bình đẳng, thúc đẩy phát triển và mở rộng kinh doanh của các doanh nghiệp. Theo đánh giá của Ngân hàng Thế giới, </w:t>
      </w:r>
      <w:r w:rsidRPr="00E71364">
        <w:rPr>
          <w:rFonts w:ascii="Times New Roman" w:hAnsi="Times New Roman" w:cs="Times New Roman"/>
          <w:sz w:val="28"/>
          <w:szCs w:val="28"/>
          <w:lang w:val="fr-FR"/>
        </w:rPr>
        <w:t>thời gian qua, các q</w:t>
      </w:r>
      <w:r w:rsidR="007E4E8E" w:rsidRPr="00E71364">
        <w:rPr>
          <w:rFonts w:ascii="Times New Roman" w:hAnsi="Times New Roman" w:cs="Times New Roman"/>
          <w:sz w:val="28"/>
          <w:szCs w:val="28"/>
          <w:lang w:val="fr-FR"/>
        </w:rPr>
        <w:t xml:space="preserve">uy định về bảo vệ cổ đông, nhà đầu tư </w:t>
      </w:r>
      <w:r w:rsidR="0073724C" w:rsidRPr="00E71364">
        <w:rPr>
          <w:rFonts w:ascii="Times New Roman" w:hAnsi="Times New Roman" w:cs="Times New Roman"/>
          <w:sz w:val="28"/>
          <w:szCs w:val="28"/>
          <w:lang w:val="fr-FR"/>
        </w:rPr>
        <w:t xml:space="preserve">của Việt Nam đã </w:t>
      </w:r>
      <w:r w:rsidR="007E4E8E" w:rsidRPr="00E71364">
        <w:rPr>
          <w:rFonts w:ascii="Times New Roman" w:hAnsi="Times New Roman" w:cs="Times New Roman"/>
          <w:sz w:val="28"/>
          <w:szCs w:val="28"/>
          <w:lang w:val="fr-FR"/>
        </w:rPr>
        <w:t xml:space="preserve">có cải thiện mạnh mẽ, hiện xếp hạng 89/190 quốc gia (tăng 28 hạng so với năm 2014 và 90 hạng so với năm 2013). </w:t>
      </w:r>
      <w:r w:rsidR="0073724C" w:rsidRPr="00E71364">
        <w:rPr>
          <w:rFonts w:ascii="Times New Roman" w:hAnsi="Times New Roman" w:cs="Times New Roman"/>
          <w:sz w:val="28"/>
          <w:szCs w:val="28"/>
        </w:rPr>
        <w:t xml:space="preserve">Tuy nhiên, nếu so sánh thực trạng hiện nay với các quốc gia quanh khu vực, mức độ bảo vệ nhà đầu tư </w:t>
      </w:r>
      <w:r w:rsidR="007434BD" w:rsidRPr="00E71364">
        <w:rPr>
          <w:rFonts w:ascii="Times New Roman" w:hAnsi="Times New Roman" w:cs="Times New Roman"/>
          <w:sz w:val="28"/>
          <w:szCs w:val="28"/>
        </w:rPr>
        <w:t>của</w:t>
      </w:r>
      <w:r w:rsidR="0073724C" w:rsidRPr="00E71364">
        <w:rPr>
          <w:rFonts w:ascii="Times New Roman" w:hAnsi="Times New Roman" w:cs="Times New Roman"/>
          <w:sz w:val="28"/>
          <w:szCs w:val="28"/>
        </w:rPr>
        <w:t xml:space="preserve"> nước ta còn thấp xa so với Indonesia</w:t>
      </w:r>
      <w:r w:rsidR="007434BD" w:rsidRPr="00E71364">
        <w:rPr>
          <w:rFonts w:ascii="Times New Roman" w:hAnsi="Times New Roman" w:cs="Times New Roman"/>
          <w:sz w:val="28"/>
          <w:szCs w:val="28"/>
        </w:rPr>
        <w:t xml:space="preserve"> </w:t>
      </w:r>
      <w:r w:rsidR="0073724C" w:rsidRPr="00E71364">
        <w:rPr>
          <w:rFonts w:ascii="Times New Roman" w:hAnsi="Times New Roman" w:cs="Times New Roman"/>
          <w:sz w:val="28"/>
          <w:szCs w:val="28"/>
        </w:rPr>
        <w:t>(thứ hạ</w:t>
      </w:r>
      <w:r w:rsidR="007434BD" w:rsidRPr="00E71364">
        <w:rPr>
          <w:rFonts w:ascii="Times New Roman" w:hAnsi="Times New Roman" w:cs="Times New Roman"/>
          <w:sz w:val="28"/>
          <w:szCs w:val="28"/>
        </w:rPr>
        <w:t xml:space="preserve">ng 51), </w:t>
      </w:r>
      <w:r w:rsidR="0073724C" w:rsidRPr="00E71364">
        <w:rPr>
          <w:rFonts w:ascii="Times New Roman" w:hAnsi="Times New Roman" w:cs="Times New Roman"/>
          <w:sz w:val="28"/>
          <w:szCs w:val="28"/>
        </w:rPr>
        <w:t>thấp hơn nhiều so với Thái Lan (thứ hạ</w:t>
      </w:r>
      <w:r w:rsidR="007434BD" w:rsidRPr="00E71364">
        <w:rPr>
          <w:rFonts w:ascii="Times New Roman" w:hAnsi="Times New Roman" w:cs="Times New Roman"/>
          <w:sz w:val="28"/>
          <w:szCs w:val="28"/>
        </w:rPr>
        <w:t>ng 15), Singapore (</w:t>
      </w:r>
      <w:r w:rsidR="0073724C" w:rsidRPr="00E71364">
        <w:rPr>
          <w:rFonts w:ascii="Times New Roman" w:hAnsi="Times New Roman" w:cs="Times New Roman"/>
          <w:sz w:val="28"/>
          <w:szCs w:val="28"/>
        </w:rPr>
        <w:t xml:space="preserve">thứ hạng 7) và Malaysia (thứ hạng 2). </w:t>
      </w:r>
    </w:p>
    <w:p w:rsidR="001B77D2" w:rsidRPr="00E71364" w:rsidRDefault="001B77D2" w:rsidP="005C37F2">
      <w:pPr>
        <w:pStyle w:val="Caption"/>
        <w:spacing w:before="120" w:after="120" w:line="276" w:lineRule="auto"/>
        <w:jc w:val="center"/>
        <w:rPr>
          <w:rFonts w:ascii="Times New Roman" w:hAnsi="Times New Roman" w:cs="Times New Roman"/>
          <w:color w:val="auto"/>
          <w:sz w:val="26"/>
          <w:szCs w:val="26"/>
        </w:rPr>
      </w:pPr>
      <w:r w:rsidRPr="00E71364">
        <w:rPr>
          <w:rFonts w:ascii="Times New Roman" w:hAnsi="Times New Roman" w:cs="Times New Roman"/>
          <w:color w:val="auto"/>
          <w:sz w:val="28"/>
          <w:szCs w:val="28"/>
          <w:lang w:val="fr-FR"/>
        </w:rPr>
        <w:t xml:space="preserve">Hình </w:t>
      </w:r>
      <w:proofErr w:type="gramStart"/>
      <w:r w:rsidRPr="00E71364">
        <w:rPr>
          <w:rFonts w:ascii="Times New Roman" w:hAnsi="Times New Roman" w:cs="Times New Roman"/>
          <w:color w:val="auto"/>
          <w:sz w:val="28"/>
          <w:szCs w:val="28"/>
          <w:lang w:val="fr-FR"/>
        </w:rPr>
        <w:t>1:</w:t>
      </w:r>
      <w:proofErr w:type="gramEnd"/>
      <w:r w:rsidRPr="00E71364">
        <w:rPr>
          <w:rFonts w:ascii="Times New Roman" w:hAnsi="Times New Roman" w:cs="Times New Roman"/>
          <w:color w:val="auto"/>
          <w:sz w:val="28"/>
          <w:szCs w:val="28"/>
          <w:lang w:val="fr-FR"/>
        </w:rPr>
        <w:t xml:space="preserve"> </w:t>
      </w:r>
      <w:bookmarkStart w:id="1" w:name="_Toc26741777"/>
      <w:r w:rsidRPr="00E71364">
        <w:rPr>
          <w:rFonts w:ascii="Times New Roman" w:hAnsi="Times New Roman" w:cs="Times New Roman"/>
          <w:color w:val="auto"/>
          <w:sz w:val="26"/>
          <w:szCs w:val="26"/>
        </w:rPr>
        <w:t xml:space="preserve">Điểm số trong Chỉ số bảo về </w:t>
      </w:r>
      <w:r w:rsidR="007434BD" w:rsidRPr="00E71364">
        <w:rPr>
          <w:rFonts w:ascii="Times New Roman" w:hAnsi="Times New Roman" w:cs="Times New Roman"/>
          <w:color w:val="auto"/>
          <w:sz w:val="26"/>
          <w:szCs w:val="26"/>
        </w:rPr>
        <w:t>cổ đông</w:t>
      </w:r>
      <w:r w:rsidRPr="00E71364">
        <w:rPr>
          <w:rFonts w:ascii="Times New Roman" w:hAnsi="Times New Roman" w:cs="Times New Roman"/>
          <w:color w:val="auto"/>
          <w:sz w:val="26"/>
          <w:szCs w:val="26"/>
        </w:rPr>
        <w:t xml:space="preserve"> thiểu số của các quốc gia ASEAN từ Báo cáo Môi trường kinh doanh 2013 – 2019</w:t>
      </w:r>
      <w:bookmarkEnd w:id="1"/>
    </w:p>
    <w:p w:rsidR="001B77D2" w:rsidRPr="00E71364" w:rsidRDefault="001B77D2" w:rsidP="005C37F2">
      <w:pPr>
        <w:spacing w:before="120" w:after="120" w:line="276" w:lineRule="auto"/>
        <w:jc w:val="center"/>
        <w:rPr>
          <w:rFonts w:ascii="Times New Roman" w:hAnsi="Times New Roman" w:cs="Times New Roman"/>
        </w:rPr>
      </w:pPr>
      <w:r w:rsidRPr="00E71364">
        <w:rPr>
          <w:rFonts w:ascii="Times New Roman" w:hAnsi="Times New Roman" w:cs="Times New Roman"/>
          <w:noProof/>
          <w:sz w:val="27"/>
          <w:szCs w:val="27"/>
        </w:rPr>
        <w:drawing>
          <wp:inline distT="0" distB="0" distL="0" distR="0" wp14:anchorId="68529B46" wp14:editId="441BCBF5">
            <wp:extent cx="4111143" cy="2194560"/>
            <wp:effectExtent l="0" t="0" r="3810" b="15240"/>
            <wp:docPr id="1" name="Chart 1">
              <a:extLst xmlns:a="http://schemas.openxmlformats.org/drawingml/2006/main">
                <a:ext uri="{FF2B5EF4-FFF2-40B4-BE49-F238E27FC236}">
                  <a16:creationId xmlns:a16="http://schemas.microsoft.com/office/drawing/2014/main" id="{25441460-14B7-48BD-B5DB-1538B2138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B77D2" w:rsidRPr="00E71364" w:rsidRDefault="001B77D2" w:rsidP="005C37F2">
      <w:pPr>
        <w:spacing w:before="120" w:after="120" w:line="276" w:lineRule="auto"/>
        <w:ind w:firstLine="567"/>
        <w:jc w:val="both"/>
        <w:rPr>
          <w:rFonts w:ascii="Times New Roman" w:hAnsi="Times New Roman" w:cs="Times New Roman"/>
          <w:i/>
          <w:sz w:val="27"/>
          <w:szCs w:val="27"/>
        </w:rPr>
      </w:pPr>
      <w:r w:rsidRPr="00E71364">
        <w:rPr>
          <w:rFonts w:ascii="Times New Roman" w:hAnsi="Times New Roman" w:cs="Times New Roman"/>
          <w:i/>
          <w:sz w:val="27"/>
          <w:szCs w:val="27"/>
        </w:rPr>
        <w:t xml:space="preserve">Nguồn: Tổng hợp từ Báo cáo </w:t>
      </w:r>
      <w:r w:rsidR="00F466B5" w:rsidRPr="00E71364">
        <w:rPr>
          <w:rFonts w:ascii="Times New Roman" w:hAnsi="Times New Roman" w:cs="Times New Roman"/>
          <w:i/>
          <w:sz w:val="27"/>
          <w:szCs w:val="27"/>
        </w:rPr>
        <w:t>Môi trường kinh doanh, Ngân hàng thế giới</w:t>
      </w:r>
    </w:p>
    <w:p w:rsidR="001B77D2" w:rsidRPr="00E71364" w:rsidRDefault="0073724C" w:rsidP="005C37F2">
      <w:pPr>
        <w:spacing w:before="120" w:after="120" w:line="276" w:lineRule="auto"/>
        <w:ind w:firstLine="567"/>
        <w:jc w:val="both"/>
        <w:rPr>
          <w:rFonts w:ascii="Times New Roman" w:hAnsi="Times New Roman" w:cs="Times New Roman"/>
          <w:sz w:val="28"/>
          <w:szCs w:val="28"/>
          <w:lang w:val="fr-FR"/>
        </w:rPr>
      </w:pPr>
      <w:r w:rsidRPr="00E71364">
        <w:rPr>
          <w:rFonts w:ascii="Times New Roman" w:hAnsi="Times New Roman" w:cs="Times New Roman"/>
          <w:sz w:val="28"/>
          <w:szCs w:val="28"/>
        </w:rPr>
        <w:t>Theo</w:t>
      </w:r>
      <w:r w:rsidR="001B77D2" w:rsidRPr="00E71364">
        <w:rPr>
          <w:rFonts w:ascii="Times New Roman" w:hAnsi="Times New Roman" w:cs="Times New Roman"/>
          <w:sz w:val="28"/>
          <w:szCs w:val="28"/>
        </w:rPr>
        <w:t xml:space="preserve"> Báo cáo Môi trường kinh doanh</w:t>
      </w:r>
      <w:r w:rsidRPr="00E71364">
        <w:rPr>
          <w:rFonts w:ascii="Times New Roman" w:hAnsi="Times New Roman" w:cs="Times New Roman"/>
          <w:sz w:val="28"/>
          <w:szCs w:val="28"/>
        </w:rPr>
        <w:t xml:space="preserve"> năm 2019, bảo vệ </w:t>
      </w:r>
      <w:r w:rsidR="007434BD" w:rsidRPr="00E71364">
        <w:rPr>
          <w:rFonts w:ascii="Times New Roman" w:hAnsi="Times New Roman" w:cs="Times New Roman"/>
          <w:sz w:val="28"/>
          <w:szCs w:val="28"/>
        </w:rPr>
        <w:t>cổ đông</w:t>
      </w:r>
      <w:r w:rsidRPr="00E71364">
        <w:rPr>
          <w:rFonts w:ascii="Times New Roman" w:hAnsi="Times New Roman" w:cs="Times New Roman"/>
          <w:sz w:val="28"/>
          <w:szCs w:val="28"/>
        </w:rPr>
        <w:t xml:space="preserve"> thiểu số của Việt Nam </w:t>
      </w:r>
      <w:r w:rsidR="001B77D2" w:rsidRPr="00E71364">
        <w:rPr>
          <w:rFonts w:ascii="Times New Roman" w:hAnsi="Times New Roman" w:cs="Times New Roman"/>
          <w:sz w:val="28"/>
          <w:szCs w:val="28"/>
        </w:rPr>
        <w:t>đạ</w:t>
      </w:r>
      <w:r w:rsidR="00F466B5" w:rsidRPr="00E71364">
        <w:rPr>
          <w:rFonts w:ascii="Times New Roman" w:hAnsi="Times New Roman" w:cs="Times New Roman"/>
          <w:sz w:val="28"/>
          <w:szCs w:val="28"/>
        </w:rPr>
        <w:t xml:space="preserve">t trung bình 55/100 </w:t>
      </w:r>
      <w:r w:rsidR="001B77D2" w:rsidRPr="00E71364">
        <w:rPr>
          <w:rFonts w:ascii="Times New Roman" w:hAnsi="Times New Roman" w:cs="Times New Roman"/>
          <w:sz w:val="28"/>
          <w:szCs w:val="28"/>
        </w:rPr>
        <w:t>điểm. Quan sát hình 1 cho thấy, mặc dù Việt Nam đã có cải thiện về điểm số</w:t>
      </w:r>
      <w:r w:rsidR="00F466B5" w:rsidRPr="00E71364">
        <w:rPr>
          <w:rFonts w:ascii="Times New Roman" w:hAnsi="Times New Roman" w:cs="Times New Roman"/>
          <w:sz w:val="28"/>
          <w:szCs w:val="28"/>
        </w:rPr>
        <w:t xml:space="preserve">, </w:t>
      </w:r>
      <w:r w:rsidR="001B77D2" w:rsidRPr="00E71364">
        <w:rPr>
          <w:rFonts w:ascii="Times New Roman" w:hAnsi="Times New Roman" w:cs="Times New Roman"/>
          <w:sz w:val="28"/>
          <w:szCs w:val="28"/>
        </w:rPr>
        <w:t>tuy nhiên, điểm số Việt Nam vẫn chỉ đứng thứ 5 trên 6 quố</w:t>
      </w:r>
      <w:r w:rsidR="00F466B5" w:rsidRPr="00E71364">
        <w:rPr>
          <w:rFonts w:ascii="Times New Roman" w:hAnsi="Times New Roman" w:cs="Times New Roman"/>
          <w:sz w:val="28"/>
          <w:szCs w:val="28"/>
        </w:rPr>
        <w:t xml:space="preserve">c gia, </w:t>
      </w:r>
      <w:r w:rsidR="001B77D2" w:rsidRPr="00E71364">
        <w:rPr>
          <w:rFonts w:ascii="Times New Roman" w:hAnsi="Times New Roman" w:cs="Times New Roman"/>
          <w:sz w:val="28"/>
          <w:szCs w:val="28"/>
        </w:rPr>
        <w:t>và chỉ hơn Philippines</w:t>
      </w:r>
      <w:r w:rsidR="001B77D2" w:rsidRPr="00E71364">
        <w:rPr>
          <w:rFonts w:ascii="Times New Roman" w:hAnsi="Times New Roman" w:cs="Times New Roman"/>
          <w:sz w:val="28"/>
          <w:szCs w:val="28"/>
          <w:lang w:val="fr-FR"/>
        </w:rPr>
        <w:t xml:space="preserve">. </w:t>
      </w:r>
      <w:r w:rsidR="001B77D2" w:rsidRPr="00E71364">
        <w:rPr>
          <w:rFonts w:ascii="Times New Roman" w:hAnsi="Times New Roman" w:cs="Times New Roman"/>
          <w:sz w:val="28"/>
          <w:szCs w:val="28"/>
        </w:rPr>
        <w:t xml:space="preserve">Singapore và Malaysia là 2 quốc gia có xếp hạng cao nhất Đông Nam Á và cũng </w:t>
      </w:r>
      <w:r w:rsidR="007434BD" w:rsidRPr="00E71364">
        <w:rPr>
          <w:rFonts w:ascii="Times New Roman" w:hAnsi="Times New Roman" w:cs="Times New Roman"/>
          <w:sz w:val="28"/>
          <w:szCs w:val="28"/>
        </w:rPr>
        <w:t xml:space="preserve">là các quốc gia </w:t>
      </w:r>
      <w:r w:rsidR="001B77D2" w:rsidRPr="00E71364">
        <w:rPr>
          <w:rFonts w:ascii="Times New Roman" w:hAnsi="Times New Roman" w:cs="Times New Roman"/>
          <w:sz w:val="28"/>
          <w:szCs w:val="28"/>
        </w:rPr>
        <w:t>có thứ hạng cao trên thế giới</w:t>
      </w:r>
      <w:r w:rsidR="007434BD" w:rsidRPr="00E71364">
        <w:rPr>
          <w:rStyle w:val="FootnoteReference"/>
          <w:rFonts w:ascii="Times New Roman" w:hAnsi="Times New Roman" w:cs="Times New Roman"/>
          <w:sz w:val="28"/>
          <w:szCs w:val="28"/>
        </w:rPr>
        <w:footnoteReference w:id="3"/>
      </w:r>
      <w:r w:rsidR="001B77D2" w:rsidRPr="00E71364">
        <w:rPr>
          <w:rFonts w:ascii="Times New Roman" w:hAnsi="Times New Roman" w:cs="Times New Roman"/>
          <w:sz w:val="28"/>
          <w:szCs w:val="28"/>
        </w:rPr>
        <w:t xml:space="preserve">. Thái Lan cũng được </w:t>
      </w:r>
      <w:r w:rsidRPr="00E71364">
        <w:rPr>
          <w:rFonts w:ascii="Times New Roman" w:hAnsi="Times New Roman" w:cs="Times New Roman"/>
          <w:sz w:val="28"/>
          <w:szCs w:val="28"/>
        </w:rPr>
        <w:t>Ngân hàng thế giới</w:t>
      </w:r>
      <w:r w:rsidR="001B77D2" w:rsidRPr="00E71364">
        <w:rPr>
          <w:rFonts w:ascii="Times New Roman" w:hAnsi="Times New Roman" w:cs="Times New Roman"/>
          <w:sz w:val="28"/>
          <w:szCs w:val="28"/>
        </w:rPr>
        <w:t xml:space="preserve"> đánh giá là liên tục có những cải cách trong bảo vệ </w:t>
      </w:r>
      <w:r w:rsidR="007434BD" w:rsidRPr="00E71364">
        <w:rPr>
          <w:rFonts w:ascii="Times New Roman" w:hAnsi="Times New Roman" w:cs="Times New Roman"/>
          <w:sz w:val="28"/>
          <w:szCs w:val="28"/>
        </w:rPr>
        <w:t>cổ đông thiểu số</w:t>
      </w:r>
      <w:r w:rsidR="001B77D2" w:rsidRPr="00E71364">
        <w:rPr>
          <w:rFonts w:ascii="Times New Roman" w:hAnsi="Times New Roman" w:cs="Times New Roman"/>
          <w:sz w:val="28"/>
          <w:szCs w:val="28"/>
        </w:rPr>
        <w:t xml:space="preserve"> và tăng hạng nhanh chóng từ thứ 36 trong báo cáo </w:t>
      </w:r>
      <w:r w:rsidRPr="00E71364">
        <w:rPr>
          <w:rFonts w:ascii="Times New Roman" w:hAnsi="Times New Roman" w:cs="Times New Roman"/>
          <w:sz w:val="28"/>
          <w:szCs w:val="28"/>
        </w:rPr>
        <w:t xml:space="preserve">Môi trường kinh doanh </w:t>
      </w:r>
      <w:r w:rsidR="001B77D2" w:rsidRPr="00E71364">
        <w:rPr>
          <w:rFonts w:ascii="Times New Roman" w:hAnsi="Times New Roman" w:cs="Times New Roman"/>
          <w:sz w:val="28"/>
          <w:szCs w:val="28"/>
        </w:rPr>
        <w:t>2016 lên thứ</w:t>
      </w:r>
      <w:r w:rsidRPr="00E71364">
        <w:rPr>
          <w:rFonts w:ascii="Times New Roman" w:hAnsi="Times New Roman" w:cs="Times New Roman"/>
          <w:sz w:val="28"/>
          <w:szCs w:val="28"/>
        </w:rPr>
        <w:t xml:space="preserve"> 15 trong báo cáo Môi trường kinh doanh</w:t>
      </w:r>
      <w:r w:rsidR="001B77D2" w:rsidRPr="00E71364">
        <w:rPr>
          <w:rFonts w:ascii="Times New Roman" w:hAnsi="Times New Roman" w:cs="Times New Roman"/>
          <w:sz w:val="28"/>
          <w:szCs w:val="28"/>
        </w:rPr>
        <w:t xml:space="preserve"> 2019. </w:t>
      </w:r>
      <w:r w:rsidR="007434BD" w:rsidRPr="00E71364">
        <w:rPr>
          <w:rFonts w:ascii="Times New Roman" w:hAnsi="Times New Roman" w:cs="Times New Roman"/>
          <w:sz w:val="28"/>
          <w:szCs w:val="28"/>
        </w:rPr>
        <w:t xml:space="preserve">Trong khi đó, </w:t>
      </w:r>
      <w:r w:rsidR="001B77D2" w:rsidRPr="00E71364">
        <w:rPr>
          <w:rFonts w:ascii="Times New Roman" w:hAnsi="Times New Roman" w:cs="Times New Roman"/>
          <w:sz w:val="28"/>
          <w:szCs w:val="28"/>
        </w:rPr>
        <w:t xml:space="preserve">Philippines là quốc gia có thứ hạng kém nhất trong 6 nước </w:t>
      </w:r>
      <w:r w:rsidR="007434BD" w:rsidRPr="00E71364">
        <w:rPr>
          <w:rFonts w:ascii="Times New Roman" w:hAnsi="Times New Roman" w:cs="Times New Roman"/>
          <w:sz w:val="28"/>
          <w:szCs w:val="28"/>
        </w:rPr>
        <w:t xml:space="preserve">tại hình trên và trong toàn ASEAN, </w:t>
      </w:r>
      <w:r w:rsidR="001B77D2" w:rsidRPr="00E71364">
        <w:rPr>
          <w:rFonts w:ascii="Times New Roman" w:hAnsi="Times New Roman" w:cs="Times New Roman"/>
          <w:sz w:val="28"/>
          <w:szCs w:val="28"/>
        </w:rPr>
        <w:t xml:space="preserve">chỉ hơn Lào và Myanmar. </w:t>
      </w:r>
      <w:r w:rsidRPr="00E71364">
        <w:rPr>
          <w:rFonts w:ascii="Times New Roman" w:hAnsi="Times New Roman" w:cs="Times New Roman"/>
          <w:sz w:val="28"/>
          <w:szCs w:val="28"/>
        </w:rPr>
        <w:t xml:space="preserve">Điều này cũng cho thấy dư địa để </w:t>
      </w:r>
      <w:r w:rsidR="007434BD" w:rsidRPr="00E71364">
        <w:rPr>
          <w:rFonts w:ascii="Times New Roman" w:hAnsi="Times New Roman" w:cs="Times New Roman"/>
          <w:sz w:val="28"/>
          <w:szCs w:val="28"/>
        </w:rPr>
        <w:t>cải cách</w:t>
      </w:r>
      <w:r w:rsidRPr="00E71364">
        <w:rPr>
          <w:rFonts w:ascii="Times New Roman" w:hAnsi="Times New Roman" w:cs="Times New Roman"/>
          <w:sz w:val="28"/>
          <w:szCs w:val="28"/>
        </w:rPr>
        <w:t xml:space="preserve"> các quy định </w:t>
      </w:r>
      <w:r w:rsidR="007434BD" w:rsidRPr="00E71364">
        <w:rPr>
          <w:rFonts w:ascii="Times New Roman" w:hAnsi="Times New Roman" w:cs="Times New Roman"/>
          <w:sz w:val="28"/>
          <w:szCs w:val="28"/>
        </w:rPr>
        <w:t>nhằm bảo vệ cổ đông thiểu số</w:t>
      </w:r>
      <w:r w:rsidRPr="00E71364">
        <w:rPr>
          <w:rFonts w:ascii="Times New Roman" w:hAnsi="Times New Roman" w:cs="Times New Roman"/>
          <w:sz w:val="28"/>
          <w:szCs w:val="28"/>
        </w:rPr>
        <w:t xml:space="preserve"> còn rất lớn ở Việt Nam.</w:t>
      </w:r>
    </w:p>
    <w:p w:rsidR="001B77D2" w:rsidRPr="00E71364" w:rsidRDefault="007434BD" w:rsidP="005C37F2">
      <w:pPr>
        <w:spacing w:before="120" w:after="120" w:line="276" w:lineRule="auto"/>
        <w:ind w:firstLine="567"/>
        <w:jc w:val="both"/>
        <w:rPr>
          <w:rFonts w:ascii="Times New Roman" w:hAnsi="Times New Roman" w:cs="Times New Roman"/>
          <w:sz w:val="28"/>
          <w:szCs w:val="28"/>
          <w:lang w:val="fr-FR"/>
        </w:rPr>
      </w:pPr>
      <w:r w:rsidRPr="00E71364">
        <w:rPr>
          <w:rFonts w:ascii="Times New Roman" w:hAnsi="Times New Roman" w:cs="Times New Roman"/>
          <w:sz w:val="28"/>
          <w:szCs w:val="28"/>
          <w:lang w:val="fr-FR"/>
        </w:rPr>
        <w:t>Tuy nhiên, b</w:t>
      </w:r>
      <w:r w:rsidR="0073724C" w:rsidRPr="00E71364">
        <w:rPr>
          <w:rFonts w:ascii="Times New Roman" w:hAnsi="Times New Roman" w:cs="Times New Roman"/>
          <w:sz w:val="28"/>
          <w:szCs w:val="28"/>
          <w:lang w:val="fr-FR"/>
        </w:rPr>
        <w:t>ên</w:t>
      </w:r>
      <w:r w:rsidR="007E4E8E" w:rsidRPr="00E71364">
        <w:rPr>
          <w:rFonts w:ascii="Times New Roman" w:hAnsi="Times New Roman" w:cs="Times New Roman"/>
          <w:sz w:val="28"/>
          <w:szCs w:val="28"/>
          <w:lang w:val="fr-FR"/>
        </w:rPr>
        <w:t xml:space="preserve"> cạnh những </w:t>
      </w:r>
      <w:r w:rsidR="0073724C" w:rsidRPr="00E71364">
        <w:rPr>
          <w:rFonts w:ascii="Times New Roman" w:hAnsi="Times New Roman" w:cs="Times New Roman"/>
          <w:sz w:val="28"/>
          <w:szCs w:val="28"/>
          <w:lang w:val="fr-FR"/>
        </w:rPr>
        <w:t>thay đổi tích cực</w:t>
      </w:r>
      <w:r w:rsidR="007E4E8E" w:rsidRPr="00E71364">
        <w:rPr>
          <w:rFonts w:ascii="Times New Roman" w:hAnsi="Times New Roman" w:cs="Times New Roman"/>
          <w:sz w:val="28"/>
          <w:szCs w:val="28"/>
          <w:lang w:val="fr-FR"/>
        </w:rPr>
        <w:t xml:space="preserve">, một số nội dung của Luật Doanh nghiệp </w:t>
      </w:r>
      <w:r w:rsidR="0073724C" w:rsidRPr="00E71364">
        <w:rPr>
          <w:rFonts w:ascii="Times New Roman" w:hAnsi="Times New Roman" w:cs="Times New Roman"/>
          <w:sz w:val="28"/>
          <w:szCs w:val="28"/>
          <w:lang w:val="fr-FR"/>
        </w:rPr>
        <w:t xml:space="preserve">2014 đã </w:t>
      </w:r>
      <w:r w:rsidR="007E4E8E" w:rsidRPr="00E71364">
        <w:rPr>
          <w:rFonts w:ascii="Times New Roman" w:hAnsi="Times New Roman" w:cs="Times New Roman"/>
          <w:sz w:val="28"/>
          <w:szCs w:val="28"/>
          <w:lang w:val="fr-FR"/>
        </w:rPr>
        <w:t xml:space="preserve">không còn phù hợp trong hoàn cảnh mới, tạo gánh nặng </w:t>
      </w:r>
      <w:r w:rsidR="007E4E8E" w:rsidRPr="00E71364">
        <w:rPr>
          <w:rFonts w:ascii="Times New Roman" w:hAnsi="Times New Roman" w:cs="Times New Roman"/>
          <w:sz w:val="28"/>
          <w:szCs w:val="28"/>
          <w:lang w:val="fr-FR"/>
        </w:rPr>
        <w:lastRenderedPageBreak/>
        <w:t>chi phí, thời gian cho doanh nghiệp trong việc tuân thủ</w:t>
      </w:r>
      <w:r w:rsidR="00F466B5" w:rsidRPr="00E71364">
        <w:rPr>
          <w:rFonts w:ascii="Times New Roman" w:hAnsi="Times New Roman" w:cs="Times New Roman"/>
          <w:sz w:val="28"/>
          <w:szCs w:val="28"/>
          <w:lang w:val="fr-FR"/>
        </w:rPr>
        <w:t>, m</w:t>
      </w:r>
      <w:r w:rsidR="0073724C" w:rsidRPr="00E71364">
        <w:rPr>
          <w:rFonts w:ascii="Times New Roman" w:hAnsi="Times New Roman" w:cs="Times New Roman"/>
          <w:sz w:val="28"/>
          <w:szCs w:val="28"/>
          <w:lang w:val="fr-FR"/>
        </w:rPr>
        <w:t xml:space="preserve">ặt khác, </w:t>
      </w:r>
      <w:r w:rsidR="007E4E8E" w:rsidRPr="00E71364">
        <w:rPr>
          <w:rFonts w:ascii="Times New Roman" w:hAnsi="Times New Roman" w:cs="Times New Roman"/>
          <w:sz w:val="28"/>
          <w:szCs w:val="28"/>
          <w:lang w:val="fr-FR"/>
        </w:rPr>
        <w:t xml:space="preserve">một số nội dung </w:t>
      </w:r>
      <w:r w:rsidR="0073724C" w:rsidRPr="00E71364">
        <w:rPr>
          <w:rFonts w:ascii="Times New Roman" w:hAnsi="Times New Roman" w:cs="Times New Roman"/>
          <w:sz w:val="28"/>
          <w:szCs w:val="28"/>
          <w:lang w:val="fr-FR"/>
        </w:rPr>
        <w:t xml:space="preserve">cũng </w:t>
      </w:r>
      <w:r w:rsidR="007E4E8E" w:rsidRPr="00E71364">
        <w:rPr>
          <w:rFonts w:ascii="Times New Roman" w:hAnsi="Times New Roman" w:cs="Times New Roman"/>
          <w:sz w:val="28"/>
          <w:szCs w:val="28"/>
          <w:lang w:val="fr-FR"/>
        </w:rPr>
        <w:t xml:space="preserve">cần được sửa đổi để phù hợp với các luật mới ban hành </w:t>
      </w:r>
      <w:r w:rsidR="0073724C" w:rsidRPr="00E71364">
        <w:rPr>
          <w:rFonts w:ascii="Times New Roman" w:hAnsi="Times New Roman" w:cs="Times New Roman"/>
          <w:sz w:val="28"/>
          <w:szCs w:val="28"/>
          <w:lang w:val="fr-FR"/>
        </w:rPr>
        <w:t>thời gian qua</w:t>
      </w:r>
      <w:r w:rsidR="007E4E8E" w:rsidRPr="00E71364">
        <w:rPr>
          <w:rFonts w:ascii="Times New Roman" w:hAnsi="Times New Roman" w:cs="Times New Roman"/>
          <w:sz w:val="28"/>
          <w:szCs w:val="28"/>
          <w:lang w:val="fr-FR"/>
        </w:rPr>
        <w:t xml:space="preserve">. Quan trọng hơn, một số nội dung của Luật cần được hoàn thiện thêm nhằm nâng cao chất lượng môi trường kinh doanh theo yêu cầu của Chính phủ và nâng cao chất lượng tổ chức quản trị doanh nghiệp đạt chuẩn mực của thông lệ tốt khu vực và quốc tế. </w:t>
      </w:r>
    </w:p>
    <w:p w:rsidR="007E4E8E" w:rsidRPr="00E71364" w:rsidRDefault="001B77D2" w:rsidP="005C37F2">
      <w:pPr>
        <w:spacing w:before="120" w:after="120" w:line="276" w:lineRule="auto"/>
        <w:ind w:firstLine="720"/>
        <w:jc w:val="both"/>
        <w:rPr>
          <w:rFonts w:ascii="Times New Roman" w:hAnsi="Times New Roman" w:cs="Times New Roman"/>
          <w:sz w:val="28"/>
          <w:szCs w:val="28"/>
          <w:lang w:val="fr-FR"/>
        </w:rPr>
      </w:pPr>
      <w:r w:rsidRPr="00E71364">
        <w:rPr>
          <w:rFonts w:ascii="Times New Roman" w:hAnsi="Times New Roman" w:cs="Times New Roman"/>
          <w:iCs/>
          <w:sz w:val="28"/>
          <w:szCs w:val="28"/>
        </w:rPr>
        <w:t>Một số quy định của Luật về quản trị doanh nghiệp chưa thực sự tạo thuận lợi cho cổ đông, chưa bảo vệ được quyền lợi chính đáng của cổ đông</w:t>
      </w:r>
      <w:r w:rsidR="007E4E8E" w:rsidRPr="00E71364">
        <w:rPr>
          <w:rFonts w:ascii="Times New Roman" w:hAnsi="Times New Roman" w:cs="Times New Roman"/>
          <w:sz w:val="28"/>
          <w:szCs w:val="28"/>
          <w:lang w:val="fr-FR"/>
        </w:rPr>
        <w:t xml:space="preserve">; ngược lại, tạo thêm rào cản hoặc bị cổ đông lớn và công ty lạm dụng, gây tổn hại đến lợi ích của cổ đông nhỏ. </w:t>
      </w:r>
      <w:r w:rsidR="0073724C" w:rsidRPr="00E71364">
        <w:rPr>
          <w:rFonts w:ascii="Times New Roman" w:hAnsi="Times New Roman" w:cs="Times New Roman"/>
          <w:sz w:val="28"/>
          <w:szCs w:val="28"/>
          <w:lang w:val="fr-FR"/>
        </w:rPr>
        <w:t>Cụ thể</w:t>
      </w:r>
      <w:r w:rsidR="00F466B5" w:rsidRPr="00E71364">
        <w:rPr>
          <w:rFonts w:ascii="Times New Roman" w:hAnsi="Times New Roman" w:cs="Times New Roman"/>
          <w:sz w:val="28"/>
          <w:szCs w:val="28"/>
          <w:lang w:val="fr-FR"/>
        </w:rPr>
        <w:t xml:space="preserve"> như </w:t>
      </w:r>
      <w:proofErr w:type="gramStart"/>
      <w:r w:rsidR="00F466B5" w:rsidRPr="00E71364">
        <w:rPr>
          <w:rFonts w:ascii="Times New Roman" w:hAnsi="Times New Roman" w:cs="Times New Roman"/>
          <w:sz w:val="28"/>
          <w:szCs w:val="28"/>
          <w:lang w:val="fr-FR"/>
        </w:rPr>
        <w:t>sau</w:t>
      </w:r>
      <w:r w:rsidR="0073724C" w:rsidRPr="00E71364">
        <w:rPr>
          <w:rFonts w:ascii="Times New Roman" w:hAnsi="Times New Roman" w:cs="Times New Roman"/>
          <w:sz w:val="28"/>
          <w:szCs w:val="28"/>
          <w:lang w:val="fr-FR"/>
        </w:rPr>
        <w:t>:</w:t>
      </w:r>
      <w:proofErr w:type="gramEnd"/>
    </w:p>
    <w:p w:rsidR="00A330F8" w:rsidRPr="00E71364" w:rsidRDefault="007E4E8E" w:rsidP="005C37F2">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 Luật quy định một số yêu cầu, điều kiện gây khó khăn cho cổ đông, nhóm cổ đông nhỏ tham gia vào các quyết định quan trọng của công ty, như đề cử người vào Hội đồng quản trị và tiếp cận thông tin về hoạt động của công ty. Ví dụ, các khoản 2 Điều 114, khoản 4 Điều 149 Luật Doanh nghiệp yêu cầu cổ đông phải có thời gian sở hữu ít nhất 10% cổ phần và trong 06 tháng liên tục mới có quyền đề cử người vào Hội đồng quản trị</w:t>
      </w:r>
      <w:r w:rsidR="00A330F8" w:rsidRPr="00E71364">
        <w:rPr>
          <w:rFonts w:ascii="Times New Roman" w:hAnsi="Times New Roman" w:cs="Times New Roman"/>
          <w:sz w:val="28"/>
          <w:szCs w:val="28"/>
        </w:rPr>
        <w:t>.</w:t>
      </w:r>
    </w:p>
    <w:p w:rsidR="007E4E8E" w:rsidRPr="00E71364" w:rsidRDefault="007E4E8E" w:rsidP="005C37F2">
      <w:pPr>
        <w:spacing w:before="120" w:after="120" w:line="276" w:lineRule="auto"/>
        <w:ind w:firstLine="720"/>
        <w:jc w:val="both"/>
        <w:rPr>
          <w:rFonts w:ascii="Times New Roman" w:eastAsia="Times New Roman" w:hAnsi="Times New Roman" w:cs="Times New Roman"/>
          <w:b/>
          <w:sz w:val="28"/>
          <w:szCs w:val="28"/>
          <w:lang w:val="vi-VN" w:eastAsia="vi-VN"/>
        </w:rPr>
      </w:pPr>
      <w:r w:rsidRPr="00E71364">
        <w:rPr>
          <w:rFonts w:ascii="Times New Roman" w:hAnsi="Times New Roman" w:cs="Times New Roman"/>
          <w:sz w:val="28"/>
          <w:szCs w:val="28"/>
        </w:rPr>
        <w:t>- Các cổ đông thường gặp nhiều trở ngại trong khởi kiện người quản lý công ty khi ký kết và thực hiện giao dịch gây thiệt hại cho công ty. Theo quy định của Luật Doanh nghiệp, cổ đông không có quyền tiếp cận các thông tin về giao dịch giữa công ty với người có liên quan, không được quyền tiếp cận các nghị quyết của Hội đồng quản trị… Do không có thông tin, cổ đông khó có thể khởi kiện và càng không thể khởi kiện thành công.</w:t>
      </w:r>
    </w:p>
    <w:p w:rsidR="005C5D5B" w:rsidRPr="00E71364" w:rsidRDefault="007E4E8E" w:rsidP="005C37F2">
      <w:pPr>
        <w:spacing w:before="120" w:after="120" w:line="276" w:lineRule="auto"/>
        <w:ind w:firstLine="720"/>
        <w:jc w:val="both"/>
        <w:rPr>
          <w:rFonts w:ascii="Times New Roman" w:eastAsia="Times New Roman" w:hAnsi="Times New Roman" w:cs="Times New Roman"/>
          <w:b/>
          <w:sz w:val="28"/>
          <w:szCs w:val="28"/>
          <w:highlight w:val="white"/>
          <w:lang w:val="vi-VN" w:eastAsia="vi-VN"/>
        </w:rPr>
      </w:pPr>
      <w:r w:rsidRPr="00E71364">
        <w:rPr>
          <w:rFonts w:ascii="Times New Roman" w:hAnsi="Times New Roman" w:cs="Times New Roman"/>
          <w:sz w:val="28"/>
          <w:szCs w:val="28"/>
        </w:rPr>
        <w:t xml:space="preserve">- Ngoài ra, một số quy định khác của Luật Doanh nghiệp về quản trị doanh nghiệp cũng chưa rõ ràng và chưa phù hợp với thực tiễn. Ví dụ, khoản 2 Điều 164 Luật Doanh nghiệp yêu cầu kiểm soát viên công ty cổ phần do Nhà nước nắm giữ trên 50% vốn điều lệ phải là kiểm toán viên hoặc kế toán viên là yêu cầu cao hơn so với thực tế; do số lượng kiểm toán viên, kế toán viên đã có chứng chỉ là không nhiều. </w:t>
      </w:r>
    </w:p>
    <w:p w:rsidR="00ED2022" w:rsidRPr="00E71364" w:rsidRDefault="00ED2022" w:rsidP="005C37F2">
      <w:pPr>
        <w:pStyle w:val="ListParagraph"/>
        <w:numPr>
          <w:ilvl w:val="0"/>
          <w:numId w:val="3"/>
        </w:numPr>
        <w:spacing w:before="120" w:after="120"/>
        <w:outlineLvl w:val="1"/>
        <w:rPr>
          <w:rFonts w:ascii="Times New Roman" w:eastAsia="Times New Roman" w:hAnsi="Times New Roman"/>
          <w:sz w:val="28"/>
          <w:szCs w:val="28"/>
          <w:highlight w:val="white"/>
          <w:lang w:val="vi-VN" w:eastAsia="vi-VN"/>
        </w:rPr>
      </w:pPr>
      <w:r w:rsidRPr="00E71364">
        <w:rPr>
          <w:rFonts w:ascii="Times New Roman" w:eastAsia="Times New Roman" w:hAnsi="Times New Roman"/>
          <w:sz w:val="28"/>
          <w:szCs w:val="28"/>
          <w:highlight w:val="white"/>
          <w:lang w:val="vi-VN" w:eastAsia="vi-VN"/>
        </w:rPr>
        <w:t> </w:t>
      </w:r>
      <w:r w:rsidRPr="00E71364">
        <w:rPr>
          <w:rFonts w:ascii="Times New Roman" w:eastAsia="Times New Roman" w:hAnsi="Times New Roman"/>
          <w:b/>
          <w:sz w:val="28"/>
          <w:szCs w:val="28"/>
          <w:highlight w:val="white"/>
          <w:lang w:val="vi-VN" w:eastAsia="vi-VN"/>
        </w:rPr>
        <w:t>Những điểm mới trong Luật Doanh nghiệp nhằm nâng cao quản trị công ty và bảo vệ cổ đông thiểu số</w:t>
      </w:r>
    </w:p>
    <w:p w:rsidR="00CE60E4" w:rsidRPr="00E71364" w:rsidRDefault="00A330F8" w:rsidP="005C37F2">
      <w:pPr>
        <w:spacing w:before="120" w:after="120" w:line="276" w:lineRule="auto"/>
        <w:ind w:firstLine="720"/>
        <w:jc w:val="both"/>
        <w:rPr>
          <w:rFonts w:ascii="Times New Roman" w:hAnsi="Times New Roman" w:cs="Times New Roman"/>
          <w:sz w:val="28"/>
          <w:szCs w:val="28"/>
        </w:rPr>
      </w:pPr>
      <w:r w:rsidRPr="00E71364">
        <w:rPr>
          <w:rFonts w:ascii="Times New Roman" w:eastAsia="Times New Roman" w:hAnsi="Times New Roman" w:cs="Times New Roman"/>
          <w:sz w:val="28"/>
          <w:szCs w:val="28"/>
          <w:highlight w:val="white"/>
          <w:lang w:eastAsia="vi-VN"/>
        </w:rPr>
        <w:t xml:space="preserve">Một trong những điểm mới quan trọng trong </w:t>
      </w:r>
      <w:r w:rsidR="00CE60E4" w:rsidRPr="00E71364">
        <w:rPr>
          <w:rFonts w:ascii="Times New Roman" w:eastAsia="Times New Roman" w:hAnsi="Times New Roman" w:cs="Times New Roman"/>
          <w:sz w:val="28"/>
          <w:szCs w:val="28"/>
          <w:highlight w:val="white"/>
          <w:lang w:eastAsia="vi-VN"/>
        </w:rPr>
        <w:t>Luật Doanh nghiệp 20</w:t>
      </w:r>
      <w:r w:rsidR="005D6A99" w:rsidRPr="00E71364">
        <w:rPr>
          <w:rFonts w:ascii="Times New Roman" w:eastAsia="Times New Roman" w:hAnsi="Times New Roman" w:cs="Times New Roman"/>
          <w:sz w:val="28"/>
          <w:szCs w:val="28"/>
          <w:highlight w:val="white"/>
          <w:lang w:eastAsia="vi-VN"/>
        </w:rPr>
        <w:t>20</w:t>
      </w:r>
      <w:r w:rsidR="00CE60E4" w:rsidRPr="00E71364">
        <w:rPr>
          <w:rFonts w:ascii="Times New Roman" w:eastAsia="Times New Roman" w:hAnsi="Times New Roman" w:cs="Times New Roman"/>
          <w:sz w:val="28"/>
          <w:szCs w:val="28"/>
          <w:highlight w:val="white"/>
          <w:lang w:eastAsia="vi-VN"/>
        </w:rPr>
        <w:t xml:space="preserve"> (có hiệu lực từ ngày 01/01/2021) </w:t>
      </w:r>
      <w:r w:rsidRPr="00E71364">
        <w:rPr>
          <w:rFonts w:ascii="Times New Roman" w:eastAsia="Times New Roman" w:hAnsi="Times New Roman" w:cs="Times New Roman"/>
          <w:sz w:val="28"/>
          <w:szCs w:val="28"/>
          <w:highlight w:val="white"/>
          <w:lang w:eastAsia="vi-VN"/>
        </w:rPr>
        <w:t>là</w:t>
      </w:r>
      <w:r w:rsidR="00CE60E4" w:rsidRPr="00E71364">
        <w:rPr>
          <w:rFonts w:ascii="Times New Roman" w:eastAsia="Times New Roman" w:hAnsi="Times New Roman" w:cs="Times New Roman"/>
          <w:sz w:val="28"/>
          <w:szCs w:val="28"/>
          <w:highlight w:val="white"/>
          <w:lang w:eastAsia="vi-VN"/>
        </w:rPr>
        <w:t xml:space="preserve"> nâng cao mức độ bảo vệ cổ đông thiểu số. </w:t>
      </w:r>
      <w:r w:rsidR="00CE60E4" w:rsidRPr="00E71364">
        <w:rPr>
          <w:rFonts w:ascii="Times New Roman" w:hAnsi="Times New Roman" w:cs="Times New Roman"/>
          <w:sz w:val="28"/>
          <w:szCs w:val="28"/>
        </w:rPr>
        <w:t>Cách tiếp cận của Luật là chủ động nâng cấp khung khổ pháp lý, đặc biệt là nâng cấp quản trị doanh nghiệp đáp ứng những chuẩn mực tốt của quốc tế. Do đó, những thay đổi này được kỳ vọng sẽ tạo ra tác động quan trọng tới sự phát triển doanh nghiệp, thu hút vốn đầu tư.</w:t>
      </w:r>
    </w:p>
    <w:p w:rsidR="000159E9" w:rsidRPr="00E71364" w:rsidRDefault="00CE60E4" w:rsidP="005C37F2">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lastRenderedPageBreak/>
        <w:t>Luật Doanh nghiệp 2005 có quy định về quản trị công ty nhưng khi đo lường về khung pháp lý, Ngân hàng Thế giới đánh giá, quản trị doanh nghiệp ở vị trí thấp nhất trong các quốc gia, vị trí 170/170</w:t>
      </w:r>
      <w:r w:rsidR="007434BD" w:rsidRPr="00E71364">
        <w:rPr>
          <w:rFonts w:ascii="Times New Roman" w:hAnsi="Times New Roman" w:cs="Times New Roman"/>
          <w:sz w:val="28"/>
          <w:szCs w:val="28"/>
        </w:rPr>
        <w:t xml:space="preserve"> quốc gia và vùng lãnh thổ được xếp hạng</w:t>
      </w:r>
      <w:r w:rsidRPr="00E71364">
        <w:rPr>
          <w:rFonts w:ascii="Times New Roman" w:hAnsi="Times New Roman" w:cs="Times New Roman"/>
          <w:sz w:val="28"/>
          <w:szCs w:val="28"/>
        </w:rPr>
        <w:t xml:space="preserve">. Luật Doanh nghiệp 2014 bắt đầu có cải cách hơn về quản trị doanh nghiệp giúp Việt Nam liên tiếp tăng bậc trên bảng xếp hạng của </w:t>
      </w:r>
      <w:r w:rsidR="00CA531B" w:rsidRPr="00E71364">
        <w:rPr>
          <w:rFonts w:ascii="Times New Roman" w:hAnsi="Times New Roman" w:cs="Times New Roman"/>
          <w:sz w:val="28"/>
          <w:szCs w:val="28"/>
        </w:rPr>
        <w:t>Ngân hàng thế giới</w:t>
      </w:r>
      <w:r w:rsidRPr="00E71364">
        <w:rPr>
          <w:rFonts w:ascii="Times New Roman" w:hAnsi="Times New Roman" w:cs="Times New Roman"/>
          <w:sz w:val="28"/>
          <w:szCs w:val="28"/>
        </w:rPr>
        <w:t xml:space="preserve">, hiện xếp vị trí 87/190 quốc gia và vùng lãnh thổ. </w:t>
      </w:r>
    </w:p>
    <w:p w:rsidR="000159E9" w:rsidRPr="00E71364" w:rsidRDefault="000159E9" w:rsidP="000159E9">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 xml:space="preserve">Tuy nhiên, </w:t>
      </w:r>
      <w:r w:rsidR="007434BD" w:rsidRPr="00E71364">
        <w:rPr>
          <w:rFonts w:ascii="Times New Roman" w:hAnsi="Times New Roman" w:cs="Times New Roman"/>
          <w:sz w:val="28"/>
          <w:szCs w:val="28"/>
        </w:rPr>
        <w:t>B</w:t>
      </w:r>
      <w:r w:rsidR="00CE60E4" w:rsidRPr="00E71364">
        <w:rPr>
          <w:rFonts w:ascii="Times New Roman" w:hAnsi="Times New Roman" w:cs="Times New Roman"/>
          <w:sz w:val="28"/>
          <w:szCs w:val="28"/>
        </w:rPr>
        <w:t xml:space="preserve">áo cáo đánh giá quản trị các công ty niêm yết năm 2019 chỉ ra rằng thực tiễn quản trị doanh nghiệp cần </w:t>
      </w:r>
      <w:r w:rsidR="007434BD" w:rsidRPr="00E71364">
        <w:rPr>
          <w:rFonts w:ascii="Times New Roman" w:hAnsi="Times New Roman" w:cs="Times New Roman"/>
          <w:sz w:val="28"/>
          <w:szCs w:val="28"/>
        </w:rPr>
        <w:t xml:space="preserve">phải tiếp tục </w:t>
      </w:r>
      <w:r w:rsidR="00CE60E4" w:rsidRPr="00E71364">
        <w:rPr>
          <w:rFonts w:ascii="Times New Roman" w:hAnsi="Times New Roman" w:cs="Times New Roman"/>
          <w:sz w:val="28"/>
          <w:szCs w:val="28"/>
        </w:rPr>
        <w:t>được nâng cấp mạnh hơn khi chỉ số điểm đạt thấp, chỉ đạt 42/120 điểm</w:t>
      </w:r>
      <w:r w:rsidRPr="00E71364">
        <w:rPr>
          <w:rFonts w:ascii="Times New Roman" w:hAnsi="Times New Roman" w:cs="Times New Roman"/>
          <w:sz w:val="28"/>
          <w:szCs w:val="28"/>
        </w:rPr>
        <w:t xml:space="preserve"> (Hình 2)</w:t>
      </w:r>
      <w:r w:rsidR="00CE60E4" w:rsidRPr="00E71364">
        <w:rPr>
          <w:rFonts w:ascii="Times New Roman" w:hAnsi="Times New Roman" w:cs="Times New Roman"/>
          <w:sz w:val="28"/>
          <w:szCs w:val="28"/>
        </w:rPr>
        <w:t>.</w:t>
      </w:r>
      <w:r w:rsidRPr="00E71364">
        <w:rPr>
          <w:rFonts w:ascii="Times New Roman" w:hAnsi="Times New Roman" w:cs="Times New Roman"/>
          <w:sz w:val="28"/>
          <w:szCs w:val="28"/>
        </w:rPr>
        <w:t xml:space="preserve"> Bên cạnh đó, đánh giá Thẻ điểm quả</w:t>
      </w:r>
      <w:r w:rsidR="007434BD" w:rsidRPr="00E71364">
        <w:rPr>
          <w:rFonts w:ascii="Times New Roman" w:hAnsi="Times New Roman" w:cs="Times New Roman"/>
          <w:sz w:val="28"/>
          <w:szCs w:val="28"/>
        </w:rPr>
        <w:t>n tri công ty ASEAN cũng cho</w:t>
      </w:r>
      <w:r w:rsidRPr="00E71364">
        <w:rPr>
          <w:rFonts w:ascii="Times New Roman" w:hAnsi="Times New Roman" w:cs="Times New Roman"/>
          <w:sz w:val="28"/>
          <w:szCs w:val="28"/>
        </w:rPr>
        <w:t xml:space="preserve"> thấy điểm của Việt Nam luôn dưới trung bình (42/100 điểm</w:t>
      </w:r>
      <w:r w:rsidR="007434BD" w:rsidRPr="00E71364">
        <w:rPr>
          <w:rFonts w:ascii="Times New Roman" w:hAnsi="Times New Roman" w:cs="Times New Roman"/>
          <w:sz w:val="28"/>
          <w:szCs w:val="28"/>
        </w:rPr>
        <w:t xml:space="preserve"> lần gần nhất</w:t>
      </w:r>
      <w:r w:rsidRPr="00E71364">
        <w:rPr>
          <w:rFonts w:ascii="Times New Roman" w:hAnsi="Times New Roman" w:cs="Times New Roman"/>
          <w:sz w:val="28"/>
          <w:szCs w:val="28"/>
        </w:rPr>
        <w:t>). Đây là điểm trung bình của 100 doanh nghiệp lớn nhất trên sàn chứng khoán Việt Nam, có thông tin bằng tiếng Anh trên trang web. Nếu nhìn rộng ra các doanh nghiệp quy mô nhỏ hơn, không niêm yết, có thể điểm số còn thấp hơn rất nhiều (Hình 3)</w:t>
      </w:r>
      <w:r w:rsidR="000A6A15" w:rsidRPr="00E71364">
        <w:rPr>
          <w:rFonts w:ascii="Times New Roman" w:hAnsi="Times New Roman" w:cs="Times New Roman"/>
          <w:sz w:val="28"/>
          <w:szCs w:val="28"/>
        </w:rPr>
        <w:t xml:space="preserve">. </w:t>
      </w:r>
    </w:p>
    <w:p w:rsidR="000159E9" w:rsidRPr="00E71364" w:rsidRDefault="000159E9" w:rsidP="000159E9">
      <w:pPr>
        <w:spacing w:before="120" w:after="120" w:line="276" w:lineRule="auto"/>
        <w:ind w:firstLine="720"/>
        <w:jc w:val="both"/>
        <w:rPr>
          <w:rFonts w:ascii="Times New Roman" w:hAnsi="Times New Roman" w:cs="Times New Roman"/>
          <w:b/>
          <w:sz w:val="28"/>
          <w:szCs w:val="28"/>
        </w:rPr>
      </w:pPr>
      <w:r w:rsidRPr="00E71364">
        <w:rPr>
          <w:rFonts w:ascii="Times New Roman" w:hAnsi="Times New Roman" w:cs="Times New Roman"/>
          <w:b/>
          <w:sz w:val="28"/>
          <w:szCs w:val="28"/>
        </w:rPr>
        <w:t>Hình 2: Quản trị công ty tốt và hiệu quả hoạt động kinh doanh</w:t>
      </w:r>
    </w:p>
    <w:p w:rsidR="000159E9" w:rsidRPr="00E71364" w:rsidRDefault="000159E9" w:rsidP="000A6A15">
      <w:pPr>
        <w:spacing w:before="120" w:after="120" w:line="276" w:lineRule="auto"/>
        <w:ind w:firstLine="720"/>
        <w:jc w:val="center"/>
        <w:rPr>
          <w:rFonts w:ascii="Times New Roman" w:hAnsi="Times New Roman" w:cs="Times New Roman"/>
          <w:sz w:val="28"/>
          <w:szCs w:val="28"/>
        </w:rPr>
      </w:pPr>
      <w:r w:rsidRPr="00E71364">
        <w:rPr>
          <w:rFonts w:ascii="Times New Roman" w:hAnsi="Times New Roman" w:cs="Times New Roman"/>
          <w:noProof/>
          <w:sz w:val="28"/>
          <w:szCs w:val="28"/>
        </w:rPr>
        <w:drawing>
          <wp:inline distT="0" distB="0" distL="0" distR="0" wp14:anchorId="796C55AF" wp14:editId="4C20190E">
            <wp:extent cx="4331561" cy="2172615"/>
            <wp:effectExtent l="0" t="0" r="0" b="0"/>
            <wp:docPr id="6" name="Picture 5">
              <a:extLst xmlns:a="http://schemas.openxmlformats.org/drawingml/2006/main">
                <a:ext uri="{FF2B5EF4-FFF2-40B4-BE49-F238E27FC236}">
                  <a16:creationId xmlns:a16="http://schemas.microsoft.com/office/drawing/2014/main" id="{24C7B378-7BA3-4147-A7C8-1F8FCAE0D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4C7B378-7BA3-4147-A7C8-1F8FCAE0D950}"/>
                        </a:ext>
                      </a:extLst>
                    </pic:cNvPr>
                    <pic:cNvPicPr>
                      <a:picLocks noChangeAspect="1"/>
                    </pic:cNvPicPr>
                  </pic:nvPicPr>
                  <pic:blipFill>
                    <a:blip r:embed="rId9"/>
                    <a:stretch>
                      <a:fillRect/>
                    </a:stretch>
                  </pic:blipFill>
                  <pic:spPr>
                    <a:xfrm>
                      <a:off x="0" y="0"/>
                      <a:ext cx="4348326" cy="2181024"/>
                    </a:xfrm>
                    <a:prstGeom prst="rect">
                      <a:avLst/>
                    </a:prstGeom>
                  </pic:spPr>
                </pic:pic>
              </a:graphicData>
            </a:graphic>
          </wp:inline>
        </w:drawing>
      </w:r>
    </w:p>
    <w:p w:rsidR="000159E9" w:rsidRPr="00E71364" w:rsidRDefault="000159E9" w:rsidP="000A6A15">
      <w:pPr>
        <w:spacing w:before="120" w:after="120" w:line="276" w:lineRule="auto"/>
        <w:jc w:val="center"/>
        <w:rPr>
          <w:rFonts w:ascii="Times New Roman" w:hAnsi="Times New Roman" w:cs="Times New Roman"/>
          <w:b/>
          <w:sz w:val="28"/>
          <w:szCs w:val="28"/>
        </w:rPr>
      </w:pPr>
      <w:r w:rsidRPr="00E71364">
        <w:rPr>
          <w:rFonts w:ascii="Times New Roman" w:hAnsi="Times New Roman" w:cs="Times New Roman"/>
          <w:b/>
          <w:sz w:val="28"/>
          <w:szCs w:val="28"/>
        </w:rPr>
        <w:t>Hình 3: Thẻ điểm quản tri công ty ASEAN qua các năm</w:t>
      </w:r>
    </w:p>
    <w:p w:rsidR="000159E9" w:rsidRPr="00E71364" w:rsidRDefault="000159E9" w:rsidP="000A6A15">
      <w:pPr>
        <w:spacing w:before="120" w:after="120" w:line="276" w:lineRule="auto"/>
        <w:ind w:firstLine="720"/>
        <w:jc w:val="center"/>
        <w:rPr>
          <w:rFonts w:ascii="Roboto" w:hAnsi="Roboto"/>
          <w:shd w:val="clear" w:color="auto" w:fill="FEF9F5"/>
        </w:rPr>
      </w:pPr>
      <w:r w:rsidRPr="00E71364">
        <w:rPr>
          <w:rFonts w:ascii="Roboto" w:hAnsi="Roboto"/>
          <w:noProof/>
          <w:shd w:val="clear" w:color="auto" w:fill="FEF9F5"/>
        </w:rPr>
        <w:drawing>
          <wp:inline distT="0" distB="0" distL="0" distR="0" wp14:anchorId="066DF8F1" wp14:editId="43F3FAA2">
            <wp:extent cx="5016922" cy="2092148"/>
            <wp:effectExtent l="0" t="0" r="0" b="3810"/>
            <wp:docPr id="5" name="Picture 4">
              <a:extLst xmlns:a="http://schemas.openxmlformats.org/drawingml/2006/main">
                <a:ext uri="{FF2B5EF4-FFF2-40B4-BE49-F238E27FC236}">
                  <a16:creationId xmlns:a16="http://schemas.microsoft.com/office/drawing/2014/main" id="{622DE750-21CB-4EA8-9CDE-994BEF3E731B}"/>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22DE750-21CB-4EA8-9CDE-994BEF3E731B}"/>
                        </a:ext>
                      </a:extLst>
                    </pic:cNvPr>
                    <pic:cNvPicPr/>
                  </pic:nvPicPr>
                  <pic:blipFill>
                    <a:blip r:embed="rId10"/>
                    <a:stretch>
                      <a:fillRect/>
                    </a:stretch>
                  </pic:blipFill>
                  <pic:spPr>
                    <a:xfrm>
                      <a:off x="0" y="0"/>
                      <a:ext cx="5035642" cy="2099955"/>
                    </a:xfrm>
                    <a:prstGeom prst="rect">
                      <a:avLst/>
                    </a:prstGeom>
                  </pic:spPr>
                </pic:pic>
              </a:graphicData>
            </a:graphic>
          </wp:inline>
        </w:drawing>
      </w:r>
    </w:p>
    <w:p w:rsidR="007434BD" w:rsidRPr="00E71364" w:rsidRDefault="000159E9" w:rsidP="007434BD">
      <w:pPr>
        <w:spacing w:before="120" w:after="120" w:line="276" w:lineRule="auto"/>
        <w:ind w:firstLine="720"/>
        <w:jc w:val="both"/>
        <w:rPr>
          <w:rFonts w:ascii="Times New Roman" w:hAnsi="Times New Roman" w:cs="Times New Roman"/>
          <w:i/>
          <w:sz w:val="28"/>
          <w:szCs w:val="28"/>
        </w:rPr>
      </w:pPr>
      <w:r w:rsidRPr="00E71364">
        <w:rPr>
          <w:rFonts w:ascii="Times New Roman" w:hAnsi="Times New Roman" w:cs="Times New Roman"/>
          <w:i/>
          <w:sz w:val="28"/>
          <w:szCs w:val="28"/>
        </w:rPr>
        <w:t xml:space="preserve">Nguồn: Thẻ điểm Quản trị Công ty ASEAN, Báo cáo và Đánh giá Quốc gia 2012 </w:t>
      </w:r>
      <w:r w:rsidR="007434BD" w:rsidRPr="00E71364">
        <w:rPr>
          <w:rFonts w:ascii="Times New Roman" w:hAnsi="Times New Roman" w:cs="Times New Roman"/>
          <w:i/>
          <w:sz w:val="28"/>
          <w:szCs w:val="28"/>
        </w:rPr>
        <w:t>–</w:t>
      </w:r>
      <w:r w:rsidRPr="00E71364">
        <w:rPr>
          <w:rFonts w:ascii="Times New Roman" w:hAnsi="Times New Roman" w:cs="Times New Roman"/>
          <w:i/>
          <w:sz w:val="28"/>
          <w:szCs w:val="28"/>
        </w:rPr>
        <w:t xml:space="preserve"> 2017</w:t>
      </w:r>
    </w:p>
    <w:p w:rsidR="005D6A99" w:rsidRPr="00E71364" w:rsidRDefault="007434BD" w:rsidP="007434BD">
      <w:pPr>
        <w:spacing w:before="120" w:after="120" w:line="276" w:lineRule="auto"/>
        <w:ind w:firstLine="720"/>
        <w:jc w:val="both"/>
        <w:rPr>
          <w:rFonts w:ascii="Times New Roman" w:hAnsi="Times New Roman" w:cs="Times New Roman"/>
          <w:i/>
          <w:sz w:val="28"/>
          <w:szCs w:val="28"/>
        </w:rPr>
      </w:pPr>
      <w:r w:rsidRPr="00E71364">
        <w:rPr>
          <w:rFonts w:ascii="Times New Roman" w:hAnsi="Times New Roman" w:cs="Times New Roman"/>
          <w:sz w:val="28"/>
          <w:szCs w:val="28"/>
        </w:rPr>
        <w:lastRenderedPageBreak/>
        <w:t xml:space="preserve">Bên cạnh đó, thực tiễn hoạt động kinh doanh những năm qua cho thấy vấn đề quản trị công ty đã trở nên đáng báo động </w:t>
      </w:r>
      <w:r w:rsidR="00FD6790" w:rsidRPr="00E71364">
        <w:rPr>
          <w:rFonts w:ascii="Times New Roman" w:hAnsi="Times New Roman" w:cs="Times New Roman"/>
          <w:sz w:val="28"/>
          <w:szCs w:val="28"/>
        </w:rPr>
        <w:t>ở Việt Nam</w:t>
      </w:r>
      <w:r w:rsidRPr="00E71364">
        <w:rPr>
          <w:rFonts w:ascii="Times New Roman" w:hAnsi="Times New Roman" w:cs="Times New Roman"/>
          <w:sz w:val="28"/>
          <w:szCs w:val="28"/>
        </w:rPr>
        <w:t>.</w:t>
      </w:r>
      <w:r w:rsidRPr="00E71364">
        <w:rPr>
          <w:rFonts w:ascii="Times New Roman" w:hAnsi="Times New Roman" w:cs="Times New Roman"/>
          <w:i/>
          <w:sz w:val="28"/>
          <w:szCs w:val="28"/>
        </w:rPr>
        <w:t xml:space="preserve"> </w:t>
      </w:r>
      <w:r w:rsidRPr="00E71364">
        <w:rPr>
          <w:rFonts w:ascii="Times New Roman" w:hAnsi="Times New Roman" w:cs="Times New Roman"/>
          <w:sz w:val="28"/>
          <w:szCs w:val="28"/>
        </w:rPr>
        <w:t>Những vụ</w:t>
      </w:r>
      <w:r w:rsidR="000159E9" w:rsidRPr="00E71364">
        <w:rPr>
          <w:rFonts w:ascii="Times New Roman" w:hAnsi="Times New Roman" w:cs="Times New Roman"/>
          <w:sz w:val="28"/>
          <w:szCs w:val="28"/>
        </w:rPr>
        <w:t xml:space="preserve"> </w:t>
      </w:r>
      <w:r w:rsidR="00CE60E4" w:rsidRPr="00E71364">
        <w:rPr>
          <w:rFonts w:ascii="Times New Roman" w:hAnsi="Times New Roman" w:cs="Times New Roman"/>
          <w:sz w:val="28"/>
          <w:szCs w:val="28"/>
        </w:rPr>
        <w:t>vụ tranh chấp tạ</w:t>
      </w:r>
      <w:r w:rsidR="00E35078" w:rsidRPr="00E71364">
        <w:rPr>
          <w:rFonts w:ascii="Times New Roman" w:hAnsi="Times New Roman" w:cs="Times New Roman"/>
          <w:sz w:val="28"/>
          <w:szCs w:val="28"/>
        </w:rPr>
        <w:t xml:space="preserve">i một số </w:t>
      </w:r>
      <w:r w:rsidR="00CE60E4" w:rsidRPr="00E71364">
        <w:rPr>
          <w:rFonts w:ascii="Times New Roman" w:hAnsi="Times New Roman" w:cs="Times New Roman"/>
          <w:sz w:val="28"/>
          <w:szCs w:val="28"/>
        </w:rPr>
        <w:t>doanh nghiệp</w:t>
      </w:r>
      <w:r w:rsidRPr="00E71364">
        <w:rPr>
          <w:rFonts w:ascii="Times New Roman" w:hAnsi="Times New Roman" w:cs="Times New Roman"/>
          <w:sz w:val="28"/>
          <w:szCs w:val="28"/>
        </w:rPr>
        <w:t xml:space="preserve"> trong các ngành hàng thời gian gần đây</w:t>
      </w:r>
      <w:r w:rsidR="005D6A99" w:rsidRPr="00E71364">
        <w:rPr>
          <w:rStyle w:val="FootnoteReference"/>
          <w:rFonts w:ascii="Times New Roman" w:hAnsi="Times New Roman" w:cs="Times New Roman"/>
          <w:sz w:val="28"/>
          <w:szCs w:val="28"/>
        </w:rPr>
        <w:footnoteReference w:id="4"/>
      </w:r>
      <w:r w:rsidR="00CE60E4" w:rsidRPr="00E71364">
        <w:rPr>
          <w:rFonts w:ascii="Times New Roman" w:hAnsi="Times New Roman" w:cs="Times New Roman"/>
          <w:sz w:val="28"/>
          <w:szCs w:val="28"/>
        </w:rPr>
        <w:t xml:space="preserve"> </w:t>
      </w:r>
      <w:r w:rsidRPr="00E71364">
        <w:rPr>
          <w:rFonts w:ascii="Times New Roman" w:hAnsi="Times New Roman" w:cs="Times New Roman"/>
          <w:sz w:val="28"/>
          <w:szCs w:val="28"/>
        </w:rPr>
        <w:t xml:space="preserve">đều có </w:t>
      </w:r>
      <w:r w:rsidR="000159E9" w:rsidRPr="00E71364">
        <w:rPr>
          <w:rFonts w:ascii="Times New Roman" w:hAnsi="Times New Roman" w:cs="Times New Roman"/>
          <w:sz w:val="28"/>
          <w:szCs w:val="28"/>
        </w:rPr>
        <w:t xml:space="preserve">nguyên nhân </w:t>
      </w:r>
      <w:r w:rsidRPr="00E71364">
        <w:rPr>
          <w:rFonts w:ascii="Times New Roman" w:hAnsi="Times New Roman" w:cs="Times New Roman"/>
          <w:sz w:val="28"/>
          <w:szCs w:val="28"/>
        </w:rPr>
        <w:t>lớn từ</w:t>
      </w:r>
      <w:r w:rsidR="000159E9" w:rsidRPr="00E71364">
        <w:rPr>
          <w:rFonts w:ascii="Times New Roman" w:hAnsi="Times New Roman" w:cs="Times New Roman"/>
          <w:sz w:val="28"/>
          <w:szCs w:val="28"/>
        </w:rPr>
        <w:t xml:space="preserve"> yếu kém trong </w:t>
      </w:r>
      <w:r w:rsidR="005D6A99" w:rsidRPr="00E71364">
        <w:rPr>
          <w:rFonts w:ascii="Times New Roman" w:hAnsi="Times New Roman" w:cs="Times New Roman"/>
          <w:sz w:val="28"/>
          <w:szCs w:val="28"/>
        </w:rPr>
        <w:t>quản trị doanh nghiệp. Việc thiếu một khung khổ quản trị tốt trong doanh nghiệp đã làm cho mâu thuẫn trong gia đình trở thành tranh chấp trong doanh nghiệp, tranh chấp giữa các doanh nghiệp và làm suy yếu hoạt động của doanh nghi</w:t>
      </w:r>
      <w:r w:rsidR="00FD6790" w:rsidRPr="00E71364">
        <w:rPr>
          <w:rFonts w:ascii="Times New Roman" w:hAnsi="Times New Roman" w:cs="Times New Roman"/>
          <w:sz w:val="28"/>
          <w:szCs w:val="28"/>
        </w:rPr>
        <w:t>ệp.</w:t>
      </w:r>
      <w:r w:rsidR="00FD6790" w:rsidRPr="00E71364">
        <w:rPr>
          <w:rFonts w:ascii="Times New Roman" w:hAnsi="Times New Roman" w:cs="Times New Roman"/>
          <w:sz w:val="28"/>
          <w:szCs w:val="28"/>
          <w:shd w:val="clear" w:color="auto" w:fill="FFFFFF"/>
        </w:rPr>
        <w:t xml:space="preserve"> Quản trị công ty yếu kém dẫn đến không kiểm soát được xung đột lợi ích, một cổ đông lớn chi phối toàn bộ hoạt động của công ty và bộ máy quản trị, quản lý bị vô hiệu, trong khi đó cổ đông nhỏ bị lạm dụng và chiếm đoạt lợi ích. Những điều này có thể dẫn đến sự sụp đổ của doanh nghiệp. </w:t>
      </w:r>
    </w:p>
    <w:p w:rsidR="00CE60E4" w:rsidRPr="00E71364" w:rsidRDefault="00CE60E4" w:rsidP="005C37F2">
      <w:pPr>
        <w:spacing w:before="120" w:after="120" w:line="276" w:lineRule="auto"/>
        <w:ind w:firstLine="720"/>
        <w:jc w:val="both"/>
        <w:rPr>
          <w:rFonts w:ascii="Times New Roman" w:eastAsia="Times New Roman" w:hAnsi="Times New Roman" w:cs="Times New Roman"/>
          <w:sz w:val="28"/>
          <w:szCs w:val="28"/>
          <w:lang w:eastAsia="vi-VN"/>
        </w:rPr>
      </w:pPr>
      <w:r w:rsidRPr="00E71364">
        <w:rPr>
          <w:rFonts w:ascii="Times New Roman" w:eastAsia="Times New Roman" w:hAnsi="Times New Roman" w:cs="Times New Roman"/>
          <w:sz w:val="28"/>
          <w:szCs w:val="28"/>
          <w:highlight w:val="white"/>
          <w:lang w:eastAsia="vi-VN"/>
        </w:rPr>
        <w:t xml:space="preserve">Trước tình hình đó đặt ra yêu cầu sửa đổi Luật Doanh nghiệp </w:t>
      </w:r>
      <w:r w:rsidR="005D6A99" w:rsidRPr="00E71364">
        <w:rPr>
          <w:rFonts w:ascii="Times New Roman" w:eastAsia="Times New Roman" w:hAnsi="Times New Roman" w:cs="Times New Roman"/>
          <w:sz w:val="28"/>
          <w:szCs w:val="28"/>
          <w:lang w:eastAsia="vi-VN"/>
        </w:rPr>
        <w:t>theo hướng:</w:t>
      </w:r>
    </w:p>
    <w:p w:rsidR="00CE60E4" w:rsidRPr="00E71364" w:rsidRDefault="00CE60E4" w:rsidP="005C37F2">
      <w:pPr>
        <w:spacing w:before="120" w:after="120" w:line="276" w:lineRule="auto"/>
        <w:ind w:firstLine="720"/>
        <w:jc w:val="both"/>
        <w:rPr>
          <w:rFonts w:ascii="Times New Roman" w:eastAsia="Times New Roman" w:hAnsi="Times New Roman" w:cs="Times New Roman"/>
          <w:sz w:val="28"/>
          <w:szCs w:val="28"/>
          <w:lang w:eastAsia="vi-VN"/>
        </w:rPr>
      </w:pPr>
      <w:r w:rsidRPr="00E71364">
        <w:rPr>
          <w:rFonts w:ascii="Times New Roman" w:hAnsi="Times New Roman" w:cs="Times New Roman"/>
          <w:sz w:val="28"/>
          <w:szCs w:val="28"/>
          <w:lang w:val="sv-SE"/>
        </w:rPr>
        <w:t>- Sửa đổi quy định về thời hạn góp vốn điều lệ bằng máy móc, thiết bị, tài sản khi thành lập doanh nghiệp. Để bảo đảm phù hợp với thực tiễn, thời hạn 90 ngày phải góp đủ vốn Điều lệ sẽ không bao gồm thời gian vận chuyển nhập khẩu, thực hiện thủ tục hành chính đối với máy móc, thiết bị và tài sản góp vốn.</w:t>
      </w:r>
    </w:p>
    <w:p w:rsidR="00CE60E4" w:rsidRPr="00E71364" w:rsidRDefault="00CE60E4" w:rsidP="005C37F2">
      <w:pPr>
        <w:spacing w:before="120" w:after="120" w:line="276" w:lineRule="auto"/>
        <w:ind w:firstLine="720"/>
        <w:jc w:val="both"/>
        <w:rPr>
          <w:rFonts w:ascii="Times New Roman" w:eastAsia="Times New Roman" w:hAnsi="Times New Roman" w:cs="Times New Roman"/>
          <w:sz w:val="28"/>
          <w:szCs w:val="28"/>
          <w:lang w:eastAsia="vi-VN"/>
        </w:rPr>
      </w:pPr>
      <w:r w:rsidRPr="00E71364">
        <w:rPr>
          <w:rFonts w:ascii="Times New Roman" w:hAnsi="Times New Roman" w:cs="Times New Roman"/>
          <w:sz w:val="28"/>
          <w:szCs w:val="28"/>
          <w:lang w:val="sv-SE"/>
        </w:rPr>
        <w:t xml:space="preserve">- Mở rộng mức độ và phạm vi quyền của cổ đông công ty nhằm tạo điều kiện thuận lợi hơn cho họ bảo vệ lợi ích của mình; tạo thuận lợi hơn cho cổ đông khởi kiện người quản lý công ty trong trường hợp người quản lý lạm dụng địa vị, quyền hạn gây thiệt hại cho công ty và cổ đông. Nội dung sửa đổi, bổ sung cơ bản như: (i) bãi bỏ, giảm bớt điều kiện không hợp lý (như: ”phải sở hữu cổ phần liên tục tục trong 06 tháng” hoặc </w:t>
      </w:r>
      <w:r w:rsidR="007434BD" w:rsidRPr="00E71364">
        <w:rPr>
          <w:rFonts w:ascii="Times New Roman" w:hAnsi="Times New Roman" w:cs="Times New Roman"/>
          <w:sz w:val="28"/>
          <w:szCs w:val="28"/>
          <w:lang w:val="sv-SE"/>
        </w:rPr>
        <w:t>”</w:t>
      </w:r>
      <w:r w:rsidRPr="00E71364">
        <w:rPr>
          <w:rFonts w:ascii="Times New Roman" w:hAnsi="Times New Roman" w:cs="Times New Roman"/>
          <w:sz w:val="28"/>
          <w:szCs w:val="28"/>
          <w:lang w:val="sv-SE"/>
        </w:rPr>
        <w:t>sở hữu ít nhất 10% tổng số cổ phần</w:t>
      </w:r>
      <w:r w:rsidR="007434BD" w:rsidRPr="00E71364">
        <w:rPr>
          <w:rFonts w:ascii="Times New Roman" w:hAnsi="Times New Roman" w:cs="Times New Roman"/>
          <w:sz w:val="28"/>
          <w:szCs w:val="28"/>
          <w:lang w:val="sv-SE"/>
        </w:rPr>
        <w:t>”</w:t>
      </w:r>
      <w:r w:rsidRPr="00E71364">
        <w:rPr>
          <w:rFonts w:ascii="Times New Roman" w:hAnsi="Times New Roman" w:cs="Times New Roman"/>
          <w:sz w:val="28"/>
          <w:szCs w:val="28"/>
          <w:lang w:val="sv-SE"/>
        </w:rPr>
        <w:t>) đối với cổ đông để có thể thực hiện một số quyền về đề cử, tiếp cận thông tin về hoạt động kinh doanh; (ii) quy định rõ trách nhiệm bồi thường thiệt hại của người quản lý công ty; bổ sung quyền yêu cầu Tòa án buộc công ty cung cấp thông tin cần thiết để thực hiện quyền khởi kiện người quả</w:t>
      </w:r>
      <w:r w:rsidR="007434BD" w:rsidRPr="00E71364">
        <w:rPr>
          <w:rFonts w:ascii="Times New Roman" w:hAnsi="Times New Roman" w:cs="Times New Roman"/>
          <w:sz w:val="28"/>
          <w:szCs w:val="28"/>
          <w:lang w:val="sv-SE"/>
        </w:rPr>
        <w:t>n lý; ...</w:t>
      </w:r>
    </w:p>
    <w:p w:rsidR="00CE60E4" w:rsidRPr="00E71364" w:rsidRDefault="00CE60E4" w:rsidP="005C37F2">
      <w:pPr>
        <w:spacing w:before="120" w:after="120" w:line="276" w:lineRule="auto"/>
        <w:ind w:firstLine="720"/>
        <w:jc w:val="both"/>
        <w:rPr>
          <w:rFonts w:ascii="Times New Roman" w:eastAsia="Times New Roman" w:hAnsi="Times New Roman" w:cs="Times New Roman"/>
          <w:sz w:val="28"/>
          <w:szCs w:val="28"/>
          <w:lang w:eastAsia="vi-VN"/>
        </w:rPr>
      </w:pPr>
      <w:r w:rsidRPr="00E71364">
        <w:rPr>
          <w:rFonts w:ascii="Times New Roman" w:hAnsi="Times New Roman" w:cs="Times New Roman"/>
          <w:sz w:val="28"/>
          <w:szCs w:val="28"/>
          <w:lang w:val="sv-SE"/>
        </w:rPr>
        <w:t>- Giao quyền cho chủ sở hữu công ty TNHH một thành viên (không phải là doanh nghiệp nhà nước) quyết định và lựa chọn cơ chế kiểm soát công ty phù hợp với điều kiện cụ thể của doanh nghiệp, thay vì bắt buộc doanh nghiệp phải thành lập Ban kiểm soát như quy định hiện hành.</w:t>
      </w:r>
    </w:p>
    <w:p w:rsidR="00CE60E4" w:rsidRPr="00E71364" w:rsidRDefault="00CE60E4" w:rsidP="005C37F2">
      <w:pPr>
        <w:spacing w:before="120" w:after="120" w:line="276" w:lineRule="auto"/>
        <w:ind w:firstLine="720"/>
        <w:jc w:val="both"/>
        <w:rPr>
          <w:rFonts w:ascii="Times New Roman" w:hAnsi="Times New Roman" w:cs="Times New Roman"/>
          <w:sz w:val="28"/>
          <w:szCs w:val="28"/>
          <w:lang w:val="sv-SE"/>
        </w:rPr>
      </w:pPr>
      <w:r w:rsidRPr="00E71364">
        <w:rPr>
          <w:rFonts w:ascii="Times New Roman" w:hAnsi="Times New Roman" w:cs="Times New Roman"/>
          <w:sz w:val="28"/>
          <w:szCs w:val="28"/>
          <w:lang w:val="sv-SE"/>
        </w:rPr>
        <w:t xml:space="preserve">- Bổ sung một số quy định tạo điều kiện thuận lợi hơn cho công ty trong việc huy động vốn, như: (i) bổ sung quy định về Chứng chỉ lưu ký không có quyền biểu quyết (NVDR); (ii) sửa đổi quy định có liên quan về phát hành trái phiếu </w:t>
      </w:r>
      <w:r w:rsidRPr="00E71364">
        <w:rPr>
          <w:rFonts w:ascii="Times New Roman" w:hAnsi="Times New Roman" w:cs="Times New Roman"/>
          <w:sz w:val="28"/>
          <w:szCs w:val="28"/>
          <w:lang w:val="sv-SE"/>
        </w:rPr>
        <w:lastRenderedPageBreak/>
        <w:t>doanh nghiệp theo hướng phân định phát hành trái phiếu riêng lẻ của công ty TNHH và công ty cổ phần với phát hành trái phiếu của công ty đại chúng; giao Chính phủ hướng dẫn chi tiết về loại trái phiếu, hồ sơ, trình tự, thủ tục phát hành trái phiếu đảm bảo cân bằng lợi ích giữa doanh nghiệp và người mua trái phiếu, kiểm soát rủi ro của thị trường trái phiếu.</w:t>
      </w:r>
    </w:p>
    <w:p w:rsidR="00CE60E4" w:rsidRPr="00E71364" w:rsidRDefault="005D6A99" w:rsidP="005C37F2">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Trên tinh thần đó</w:t>
      </w:r>
      <w:r w:rsidR="00CE60E4" w:rsidRPr="00E71364">
        <w:rPr>
          <w:rFonts w:ascii="Times New Roman" w:hAnsi="Times New Roman" w:cs="Times New Roman"/>
          <w:sz w:val="28"/>
          <w:szCs w:val="28"/>
        </w:rPr>
        <w:t>, Luật Doanh nghiệp 2020 đã chủ động nâng cấp mức độ bảo vệ nhà đầu tư</w:t>
      </w:r>
      <w:r w:rsidR="00FD6790" w:rsidRPr="00E71364">
        <w:rPr>
          <w:rFonts w:ascii="Times New Roman" w:hAnsi="Times New Roman" w:cs="Times New Roman"/>
          <w:sz w:val="28"/>
          <w:szCs w:val="28"/>
        </w:rPr>
        <w:t>, hướng trực tiếp tới thúc đẩy quản trị doanh nghiệp</w:t>
      </w:r>
      <w:r w:rsidR="00CE60E4" w:rsidRPr="00E71364">
        <w:rPr>
          <w:rFonts w:ascii="Times New Roman" w:hAnsi="Times New Roman" w:cs="Times New Roman"/>
          <w:sz w:val="28"/>
          <w:szCs w:val="28"/>
        </w:rPr>
        <w:t>. Khi quy định về bảo vệ cổ đông tốt sẽ đóng góp quan trọng làm cho doanh nghiệp trở thành một công cụ kinh doanh an toàn, thông qua đó sẽ thúc đẩy huy động vốn đầu tư. Khi quản trị doanh nghiệp tốt sẽ mang lại nhiều lợi ích, đó là hiệu quả hoạt động của doanh nghiệp được cải thiện; định giá công ty cao hơn và cổ phiếu có giá trị cao hơn; cơ hội tiếp cận vốn tốt hơn…</w:t>
      </w:r>
    </w:p>
    <w:p w:rsidR="00CE60E4" w:rsidRPr="00E71364" w:rsidRDefault="00CE60E4" w:rsidP="005C37F2">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 xml:space="preserve">Theo hướng này, Luật Doanh nghiệp 2020 </w:t>
      </w:r>
      <w:r w:rsidR="005D6A99" w:rsidRPr="00E71364">
        <w:rPr>
          <w:rFonts w:ascii="Times New Roman" w:hAnsi="Times New Roman" w:cs="Times New Roman"/>
          <w:sz w:val="28"/>
          <w:szCs w:val="28"/>
        </w:rPr>
        <w:t xml:space="preserve">đã </w:t>
      </w:r>
      <w:r w:rsidRPr="00E71364">
        <w:rPr>
          <w:rFonts w:ascii="Times New Roman" w:hAnsi="Times New Roman" w:cs="Times New Roman"/>
          <w:sz w:val="28"/>
          <w:szCs w:val="28"/>
        </w:rPr>
        <w:t>mở rộng mức độ, phạm vi quyền của cổ đông nhằm tạo điều kiện thuận lợi để cổ đông bảo vệ lợi ích hợp pháp của mình và khởi kiện trong trường hợp người quản lý lạm dụng địa vị, quyền hạn gây thiệt hại cho công ty và cổ đông; mở rộng quyền tiếp cận thông tin của cổ đông về tình hình hoạt động của công ty; tạo thuận lợi hơn cho cổ đông thực hiện quyền khởi kiện người quả</w:t>
      </w:r>
      <w:r w:rsidR="007434BD" w:rsidRPr="00E71364">
        <w:rPr>
          <w:rFonts w:ascii="Times New Roman" w:hAnsi="Times New Roman" w:cs="Times New Roman"/>
          <w:sz w:val="28"/>
          <w:szCs w:val="28"/>
        </w:rPr>
        <w:t>n lý; …</w:t>
      </w:r>
    </w:p>
    <w:p w:rsidR="00FD6790" w:rsidRPr="00E71364" w:rsidRDefault="00CE60E4" w:rsidP="00FD6790">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Cụ thể, Khoản 2 Điều 115 Luật Doanh nghiệp 2020 quy định, cổ đông hoặc nhóm cổ đông sở hữu từ 5% tổng số cổ phần phổ thông trở lên hoặc một tỷ lệ khác nhỏ hơn theo quy định tại điều lệ công ty có các quyền: Xem xét, tra cứu, trích lục sổ biên bản và nghị quyết, quyết định của hội đồng quản trị, báo cáo tài chính giữa năm và hàng năm, báo cáo của ban kiểm soát, hợp đồng, giao dịch phải thông qua hội đồng quản trị và tài liệu khác, trừ tài liệu liên quan đến bí mật thương mại, bí mật kinh doanh của công ty. Cổ đông, nhóm cổ đông này có quyền yêu cầu triệu tập họp đại hội đồng cổ đông trong trường hợp quy định tại Khoản 3 Điều này; yêu cầu ban kiểm soát kiểm tra từng vấn đề cụ thể liên quan đến quản lý, điều hành hoạt động của công ty khi xét thấy cần thiế</w:t>
      </w:r>
      <w:r w:rsidR="00FD6790" w:rsidRPr="00E71364">
        <w:rPr>
          <w:rFonts w:ascii="Times New Roman" w:hAnsi="Times New Roman" w:cs="Times New Roman"/>
          <w:sz w:val="28"/>
          <w:szCs w:val="28"/>
        </w:rPr>
        <w:t>t, …</w:t>
      </w:r>
      <w:r w:rsidRPr="00E71364">
        <w:rPr>
          <w:rFonts w:ascii="Times New Roman" w:hAnsi="Times New Roman" w:cs="Times New Roman"/>
          <w:sz w:val="28"/>
          <w:szCs w:val="28"/>
        </w:rPr>
        <w:t xml:space="preserve"> Luật cũng bãi bỏ quy định về thời gian sở hữu cổ phần “ít nhất 6 tháng liên tục” nhằm bảo vệ lợi ích hợp pháp của cổ đông.</w:t>
      </w:r>
    </w:p>
    <w:p w:rsidR="00FD6790" w:rsidRPr="00E71364" w:rsidRDefault="00FD6790" w:rsidP="00FD6790">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 xml:space="preserve">Ngoài ra, Luật Doanh nghiệp 2020 cũng bổ sung quy định về </w:t>
      </w:r>
      <w:r w:rsidRPr="00E71364">
        <w:rPr>
          <w:rFonts w:ascii="Times New Roman" w:hAnsi="Times New Roman" w:cs="Times New Roman"/>
          <w:sz w:val="28"/>
          <w:szCs w:val="28"/>
          <w:shd w:val="clear" w:color="auto" w:fill="FFFFFF"/>
        </w:rPr>
        <w:t xml:space="preserve">Chứng chỉ lưu ký không có quyền biểu quyết (NVDR). </w:t>
      </w:r>
      <w:r w:rsidRPr="00E71364">
        <w:rPr>
          <w:rFonts w:ascii="Times New Roman" w:hAnsi="Times New Roman" w:cs="Times New Roman"/>
          <w:sz w:val="28"/>
          <w:szCs w:val="28"/>
        </w:rPr>
        <w:t xml:space="preserve">Theo quy định, NVDR được phát hành tại Việt Nam bởi cổ đông là tổ chức phát hành NVDR tương ứng với cổ phần phổ thông được lưu ký làm tài sản cơ </w:t>
      </w:r>
      <w:proofErr w:type="gramStart"/>
      <w:r w:rsidRPr="00E71364">
        <w:rPr>
          <w:rFonts w:ascii="Times New Roman" w:hAnsi="Times New Roman" w:cs="Times New Roman"/>
          <w:sz w:val="28"/>
          <w:szCs w:val="28"/>
        </w:rPr>
        <w:t>sở.</w:t>
      </w:r>
      <w:r w:rsidRPr="00E71364">
        <w:rPr>
          <w:rFonts w:ascii="Times New Roman" w:eastAsia="Times New Roman" w:hAnsi="Times New Roman" w:cs="Times New Roman"/>
          <w:sz w:val="28"/>
          <w:szCs w:val="28"/>
        </w:rPr>
        <w:t>NVDR</w:t>
      </w:r>
      <w:proofErr w:type="gramEnd"/>
      <w:r w:rsidRPr="00FD6790">
        <w:rPr>
          <w:rFonts w:ascii="Times New Roman" w:eastAsia="Times New Roman" w:hAnsi="Times New Roman" w:cs="Times New Roman"/>
          <w:sz w:val="28"/>
          <w:szCs w:val="28"/>
        </w:rPr>
        <w:t xml:space="preserve"> có đầy đủ lợi ích, quyền và nghĩa vụ tương ứng với cổ phần phổ thông cơ sở, trừ quyền biểu quyết.</w:t>
      </w:r>
      <w:r w:rsidRPr="00E71364">
        <w:rPr>
          <w:rFonts w:ascii="Times New Roman" w:hAnsi="Times New Roman" w:cs="Times New Roman"/>
          <w:sz w:val="28"/>
          <w:szCs w:val="28"/>
          <w:shd w:val="clear" w:color="auto" w:fill="FFFFFF"/>
        </w:rPr>
        <w:t xml:space="preserve"> Việc bổ sung quy định về NVDR sẽ góp phần đa dạng hóa sản phẩm giao dịch cho thị trường chứng khoán, đồng thời, giúp các doanh nghiệp, đặc biệt là doanh nghiệp kinh </w:t>
      </w:r>
      <w:r w:rsidRPr="00E71364">
        <w:rPr>
          <w:rFonts w:ascii="Times New Roman" w:hAnsi="Times New Roman" w:cs="Times New Roman"/>
          <w:sz w:val="28"/>
          <w:szCs w:val="28"/>
          <w:shd w:val="clear" w:color="auto" w:fill="FFFFFF"/>
        </w:rPr>
        <w:lastRenderedPageBreak/>
        <w:t>doanh những ngành nghề hạn chế sở hữu nhà đầu tư nước ngoài, có cơ hội lớn hơn trong thu hút vốn từ nhà đầu tư, bao gồm cả nhà đầu tư nước ngoài.</w:t>
      </w:r>
      <w:r w:rsidRPr="00E71364">
        <w:rPr>
          <w:rFonts w:ascii="Times New Roman" w:hAnsi="Times New Roman" w:cs="Times New Roman"/>
          <w:sz w:val="28"/>
          <w:szCs w:val="28"/>
        </w:rPr>
        <w:t xml:space="preserve"> </w:t>
      </w:r>
    </w:p>
    <w:p w:rsidR="00CE60E4" w:rsidRPr="00E71364" w:rsidRDefault="00CE60E4" w:rsidP="005C37F2">
      <w:pPr>
        <w:spacing w:before="120" w:after="120" w:line="276" w:lineRule="auto"/>
        <w:ind w:firstLine="720"/>
        <w:jc w:val="both"/>
        <w:rPr>
          <w:rFonts w:ascii="Times New Roman" w:hAnsi="Times New Roman" w:cs="Times New Roman"/>
          <w:sz w:val="28"/>
          <w:szCs w:val="28"/>
        </w:rPr>
      </w:pPr>
      <w:r w:rsidRPr="00E71364">
        <w:rPr>
          <w:rFonts w:ascii="Times New Roman" w:hAnsi="Times New Roman" w:cs="Times New Roman"/>
          <w:sz w:val="28"/>
          <w:szCs w:val="28"/>
        </w:rPr>
        <w:t xml:space="preserve">Có thể thấy, những sửa đổi về quản trị của Luật sẽ góp phần quan trọng nâng cao mức độ bảo vệ nhà đầu tư, đặc biệt là hướng tới bảo vệ cổ đông thiểu số. Nếu cơ chế này được thực thi tốt, chắc chắn sẽ khuyến khích được nhiều cổ đông nhỏ yên tâm bỏ vốn đầu tư, đồng thời góp phần nâng cao chất lượng quản trị của doanh nghiệp Việt Nam, từ đó đẩy mạnh phát triển doanh nghiệp, thu hút vốn, nguồn lực vào sản xuất kinh doanh. </w:t>
      </w:r>
    </w:p>
    <w:p w:rsidR="009F10AD" w:rsidRPr="00E71364" w:rsidRDefault="009F10AD" w:rsidP="005C37F2">
      <w:pPr>
        <w:spacing w:before="120" w:after="120" w:line="276" w:lineRule="auto"/>
        <w:ind w:firstLine="720"/>
        <w:jc w:val="both"/>
        <w:rPr>
          <w:rFonts w:ascii="Times New Roman" w:hAnsi="Times New Roman" w:cs="Times New Roman"/>
          <w:sz w:val="28"/>
          <w:szCs w:val="28"/>
        </w:rPr>
      </w:pPr>
    </w:p>
    <w:p w:rsidR="009F10AD" w:rsidRPr="00E71364" w:rsidRDefault="009F10AD" w:rsidP="005C37F2">
      <w:pPr>
        <w:spacing w:before="120" w:after="120" w:line="276" w:lineRule="auto"/>
        <w:ind w:firstLine="720"/>
        <w:jc w:val="both"/>
        <w:rPr>
          <w:rFonts w:ascii="Times New Roman" w:hAnsi="Times New Roman" w:cs="Times New Roman"/>
          <w:sz w:val="28"/>
          <w:szCs w:val="28"/>
        </w:rPr>
      </w:pPr>
    </w:p>
    <w:p w:rsidR="009F10AD" w:rsidRPr="00E71364" w:rsidRDefault="009F10AD" w:rsidP="005C37F2">
      <w:pPr>
        <w:spacing w:before="120" w:after="120" w:line="276" w:lineRule="auto"/>
        <w:ind w:firstLine="720"/>
        <w:jc w:val="both"/>
        <w:rPr>
          <w:rFonts w:ascii="Times New Roman" w:hAnsi="Times New Roman" w:cs="Times New Roman"/>
          <w:sz w:val="28"/>
          <w:szCs w:val="28"/>
        </w:rPr>
      </w:pPr>
    </w:p>
    <w:p w:rsidR="007434BD" w:rsidRDefault="007434BD"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Default="00E71364" w:rsidP="005C37F2">
      <w:pPr>
        <w:spacing w:before="120" w:after="120" w:line="276" w:lineRule="auto"/>
        <w:ind w:firstLine="720"/>
        <w:jc w:val="both"/>
        <w:rPr>
          <w:rFonts w:ascii="Times New Roman" w:hAnsi="Times New Roman" w:cs="Times New Roman"/>
          <w:sz w:val="28"/>
          <w:szCs w:val="28"/>
        </w:rPr>
      </w:pPr>
    </w:p>
    <w:p w:rsidR="00E71364" w:rsidRPr="00E71364" w:rsidRDefault="00E71364" w:rsidP="005C37F2">
      <w:pPr>
        <w:spacing w:before="120" w:after="120" w:line="276" w:lineRule="auto"/>
        <w:ind w:firstLine="720"/>
        <w:jc w:val="both"/>
        <w:rPr>
          <w:rFonts w:ascii="Times New Roman" w:hAnsi="Times New Roman" w:cs="Times New Roman"/>
          <w:sz w:val="28"/>
          <w:szCs w:val="28"/>
        </w:rPr>
      </w:pPr>
    </w:p>
    <w:p w:rsidR="007434BD" w:rsidRPr="00E71364" w:rsidRDefault="007434BD" w:rsidP="005C37F2">
      <w:pPr>
        <w:spacing w:before="120" w:after="120" w:line="276" w:lineRule="auto"/>
        <w:ind w:firstLine="720"/>
        <w:jc w:val="both"/>
        <w:rPr>
          <w:rFonts w:ascii="Times New Roman" w:hAnsi="Times New Roman" w:cs="Times New Roman"/>
          <w:sz w:val="28"/>
          <w:szCs w:val="28"/>
        </w:rPr>
      </w:pPr>
    </w:p>
    <w:p w:rsidR="009F10AD" w:rsidRPr="00E71364" w:rsidRDefault="009F10AD" w:rsidP="000A6A15">
      <w:pPr>
        <w:spacing w:before="120" w:after="120" w:line="276" w:lineRule="auto"/>
        <w:jc w:val="both"/>
        <w:rPr>
          <w:rFonts w:ascii="Times New Roman" w:hAnsi="Times New Roman" w:cs="Times New Roman"/>
          <w:sz w:val="28"/>
          <w:szCs w:val="28"/>
        </w:rPr>
      </w:pPr>
    </w:p>
    <w:p w:rsidR="009F10AD" w:rsidRPr="00E71364" w:rsidRDefault="009F10AD" w:rsidP="005C37F2">
      <w:pPr>
        <w:spacing w:before="120" w:after="120" w:line="276" w:lineRule="auto"/>
        <w:ind w:firstLine="720"/>
        <w:jc w:val="both"/>
        <w:rPr>
          <w:rFonts w:ascii="Times New Roman" w:hAnsi="Times New Roman" w:cs="Times New Roman"/>
          <w:b/>
          <w:sz w:val="28"/>
          <w:szCs w:val="28"/>
        </w:rPr>
      </w:pPr>
      <w:r w:rsidRPr="00E71364">
        <w:rPr>
          <w:rFonts w:ascii="Times New Roman" w:hAnsi="Times New Roman" w:cs="Times New Roman"/>
          <w:b/>
          <w:sz w:val="28"/>
          <w:szCs w:val="28"/>
        </w:rPr>
        <w:lastRenderedPageBreak/>
        <w:t>Tài liệu tham khảo</w:t>
      </w:r>
    </w:p>
    <w:p w:rsidR="009F10AD" w:rsidRPr="00E71364" w:rsidRDefault="009F10AD" w:rsidP="009F10AD">
      <w:pPr>
        <w:pStyle w:val="ListParagraph"/>
        <w:numPr>
          <w:ilvl w:val="0"/>
          <w:numId w:val="4"/>
        </w:numPr>
        <w:spacing w:before="120" w:after="0"/>
        <w:jc w:val="both"/>
        <w:rPr>
          <w:rStyle w:val="Hyperlink"/>
          <w:rFonts w:ascii="Times New Roman" w:hAnsi="Times New Roman"/>
          <w:color w:val="auto"/>
          <w:sz w:val="28"/>
          <w:szCs w:val="28"/>
        </w:rPr>
      </w:pPr>
      <w:r w:rsidRPr="00E71364">
        <w:rPr>
          <w:rFonts w:ascii="Times New Roman" w:hAnsi="Times New Roman"/>
          <w:sz w:val="28"/>
          <w:szCs w:val="28"/>
        </w:rPr>
        <w:t xml:space="preserve">World Bank. Doing Business Reports </w:t>
      </w:r>
      <w:r w:rsidRPr="00E71364">
        <w:rPr>
          <w:rFonts w:ascii="Times New Roman" w:hAnsi="Times New Roman"/>
          <w:i/>
          <w:sz w:val="28"/>
          <w:szCs w:val="28"/>
        </w:rPr>
        <w:t xml:space="preserve">(electronic edition), </w:t>
      </w:r>
      <w:hyperlink r:id="rId11" w:history="1">
        <w:r w:rsidRPr="00E71364">
          <w:rPr>
            <w:rStyle w:val="Hyperlink"/>
            <w:rFonts w:ascii="Times New Roman" w:hAnsi="Times New Roman"/>
            <w:color w:val="auto"/>
            <w:sz w:val="28"/>
            <w:szCs w:val="28"/>
          </w:rPr>
          <w:t>http://www.doingbusiness.org/en/reports/global-reports/doing-business-2019</w:t>
        </w:r>
      </w:hyperlink>
    </w:p>
    <w:p w:rsidR="009F10AD" w:rsidRPr="00E71364" w:rsidRDefault="009F10AD" w:rsidP="009F10AD">
      <w:pPr>
        <w:pStyle w:val="ListParagraph"/>
        <w:numPr>
          <w:ilvl w:val="0"/>
          <w:numId w:val="4"/>
        </w:numPr>
        <w:spacing w:before="120" w:after="0"/>
        <w:jc w:val="both"/>
        <w:rPr>
          <w:rFonts w:ascii="Times New Roman" w:hAnsi="Times New Roman"/>
          <w:sz w:val="28"/>
          <w:szCs w:val="28"/>
        </w:rPr>
      </w:pPr>
      <w:r w:rsidRPr="00E71364">
        <w:rPr>
          <w:rFonts w:ascii="Times New Roman" w:hAnsi="Times New Roman"/>
          <w:sz w:val="28"/>
          <w:szCs w:val="28"/>
        </w:rPr>
        <w:t>World Bank. Doing Business Reports Data</w:t>
      </w:r>
      <w:r w:rsidRPr="00E71364">
        <w:rPr>
          <w:rFonts w:ascii="Times New Roman" w:hAnsi="Times New Roman"/>
          <w:i/>
          <w:sz w:val="28"/>
          <w:szCs w:val="28"/>
        </w:rPr>
        <w:t xml:space="preserve">, </w:t>
      </w:r>
      <w:hyperlink r:id="rId12" w:history="1">
        <w:r w:rsidRPr="00E71364">
          <w:rPr>
            <w:rStyle w:val="Hyperlink"/>
            <w:rFonts w:ascii="Times New Roman" w:hAnsi="Times New Roman"/>
            <w:color w:val="auto"/>
            <w:sz w:val="28"/>
            <w:szCs w:val="28"/>
          </w:rPr>
          <w:t>https://www.doingbusiness.org/en/data/exploretopics/starting-a-business/good-practices</w:t>
        </w:r>
      </w:hyperlink>
      <w:r w:rsidRPr="00E71364">
        <w:rPr>
          <w:rFonts w:ascii="Times New Roman" w:hAnsi="Times New Roman"/>
          <w:sz w:val="28"/>
          <w:szCs w:val="28"/>
        </w:rPr>
        <w:t xml:space="preserve"> </w:t>
      </w:r>
    </w:p>
    <w:p w:rsidR="009F10AD" w:rsidRPr="00E71364" w:rsidRDefault="009F10AD" w:rsidP="009F10AD">
      <w:pPr>
        <w:pStyle w:val="ListParagraph"/>
        <w:numPr>
          <w:ilvl w:val="0"/>
          <w:numId w:val="4"/>
        </w:numPr>
        <w:spacing w:before="120" w:after="120"/>
        <w:jc w:val="both"/>
        <w:rPr>
          <w:rFonts w:ascii="Times New Roman" w:eastAsia="Times New Roman" w:hAnsi="Times New Roman"/>
          <w:sz w:val="28"/>
          <w:szCs w:val="28"/>
          <w:highlight w:val="white"/>
          <w:lang w:eastAsia="vi-VN"/>
        </w:rPr>
      </w:pPr>
      <w:r w:rsidRPr="00E71364">
        <w:rPr>
          <w:rFonts w:ascii="Times New Roman" w:eastAsia="Times New Roman" w:hAnsi="Times New Roman"/>
          <w:sz w:val="28"/>
          <w:szCs w:val="28"/>
          <w:highlight w:val="white"/>
          <w:lang w:val="en-US" w:eastAsia="vi-VN"/>
        </w:rPr>
        <w:t xml:space="preserve">Viện Nghiên cứu quản lý kinh tế Trung </w:t>
      </w:r>
      <w:r w:rsidR="00D517B4" w:rsidRPr="00E71364">
        <w:rPr>
          <w:rFonts w:ascii="Times New Roman" w:eastAsia="Times New Roman" w:hAnsi="Times New Roman"/>
          <w:sz w:val="28"/>
          <w:szCs w:val="28"/>
          <w:highlight w:val="white"/>
          <w:lang w:val="en-US" w:eastAsia="vi-VN"/>
        </w:rPr>
        <w:t>ương, Dự án Aus4Reform (</w:t>
      </w:r>
      <w:r w:rsidRPr="00E71364">
        <w:rPr>
          <w:rFonts w:ascii="Times New Roman" w:eastAsia="Times New Roman" w:hAnsi="Times New Roman"/>
          <w:sz w:val="28"/>
          <w:szCs w:val="28"/>
          <w:highlight w:val="white"/>
          <w:lang w:val="en-US" w:eastAsia="vi-VN"/>
        </w:rPr>
        <w:t>2019</w:t>
      </w:r>
      <w:r w:rsidR="00D517B4" w:rsidRPr="00E71364">
        <w:rPr>
          <w:rFonts w:ascii="Times New Roman" w:eastAsia="Times New Roman" w:hAnsi="Times New Roman"/>
          <w:sz w:val="28"/>
          <w:szCs w:val="28"/>
          <w:highlight w:val="white"/>
          <w:lang w:val="en-US" w:eastAsia="vi-VN"/>
        </w:rPr>
        <w:t>)</w:t>
      </w:r>
      <w:r w:rsidRPr="00E71364">
        <w:rPr>
          <w:rFonts w:ascii="Times New Roman" w:eastAsia="Times New Roman" w:hAnsi="Times New Roman"/>
          <w:sz w:val="28"/>
          <w:szCs w:val="28"/>
          <w:highlight w:val="white"/>
          <w:lang w:val="en-US" w:eastAsia="vi-VN"/>
        </w:rPr>
        <w:t>, Thúc đẩy, tạo thuận lợi gia nhập thị trường: vấn đề và giải pháp cải thiện khởi sự kinh doanh và bảo vệ nhà đầu tư thiểu số</w:t>
      </w:r>
      <w:r w:rsidR="007E00CA" w:rsidRPr="00E71364">
        <w:rPr>
          <w:rFonts w:ascii="Times New Roman" w:eastAsia="Times New Roman" w:hAnsi="Times New Roman"/>
          <w:sz w:val="28"/>
          <w:szCs w:val="28"/>
          <w:highlight w:val="white"/>
          <w:lang w:val="en-US" w:eastAsia="vi-VN"/>
        </w:rPr>
        <w:t xml:space="preserve">. </w:t>
      </w:r>
    </w:p>
    <w:p w:rsidR="007E00CA" w:rsidRPr="00E71364" w:rsidRDefault="00D517B4" w:rsidP="009F10AD">
      <w:pPr>
        <w:pStyle w:val="ListParagraph"/>
        <w:numPr>
          <w:ilvl w:val="0"/>
          <w:numId w:val="4"/>
        </w:numPr>
        <w:spacing w:before="120" w:after="120"/>
        <w:jc w:val="both"/>
        <w:rPr>
          <w:rFonts w:ascii="Times New Roman" w:eastAsia="Times New Roman" w:hAnsi="Times New Roman"/>
          <w:sz w:val="28"/>
          <w:szCs w:val="28"/>
          <w:highlight w:val="white"/>
          <w:lang w:eastAsia="vi-VN"/>
        </w:rPr>
      </w:pPr>
      <w:r w:rsidRPr="00E71364">
        <w:rPr>
          <w:rFonts w:ascii="Times New Roman" w:eastAsia="Times New Roman" w:hAnsi="Times New Roman"/>
          <w:sz w:val="28"/>
          <w:szCs w:val="28"/>
          <w:highlight w:val="white"/>
          <w:lang w:val="en-US" w:eastAsia="vi-VN"/>
        </w:rPr>
        <w:t>Bộ Kế hoạch và Đầu tư (</w:t>
      </w:r>
      <w:r w:rsidR="007E00CA" w:rsidRPr="00E71364">
        <w:rPr>
          <w:rFonts w:ascii="Times New Roman" w:eastAsia="Times New Roman" w:hAnsi="Times New Roman"/>
          <w:sz w:val="28"/>
          <w:szCs w:val="28"/>
          <w:highlight w:val="white"/>
          <w:lang w:val="en-US" w:eastAsia="vi-VN"/>
        </w:rPr>
        <w:t>2019</w:t>
      </w:r>
      <w:r w:rsidRPr="00E71364">
        <w:rPr>
          <w:rFonts w:ascii="Times New Roman" w:eastAsia="Times New Roman" w:hAnsi="Times New Roman"/>
          <w:sz w:val="28"/>
          <w:szCs w:val="28"/>
          <w:highlight w:val="white"/>
          <w:lang w:val="en-US" w:eastAsia="vi-VN"/>
        </w:rPr>
        <w:t>)</w:t>
      </w:r>
      <w:r w:rsidR="007E00CA" w:rsidRPr="00E71364">
        <w:rPr>
          <w:rFonts w:ascii="Times New Roman" w:eastAsia="Times New Roman" w:hAnsi="Times New Roman"/>
          <w:sz w:val="28"/>
          <w:szCs w:val="28"/>
          <w:highlight w:val="white"/>
          <w:lang w:val="en-US" w:eastAsia="vi-VN"/>
        </w:rPr>
        <w:t>, Hồ sơ trình dự án Luật Doanh nghiệp sửa đổi</w:t>
      </w:r>
      <w:r w:rsidRPr="00E71364">
        <w:rPr>
          <w:rFonts w:ascii="Times New Roman" w:eastAsia="Times New Roman" w:hAnsi="Times New Roman"/>
          <w:sz w:val="28"/>
          <w:szCs w:val="28"/>
          <w:highlight w:val="white"/>
          <w:lang w:val="en-US" w:eastAsia="vi-VN"/>
        </w:rPr>
        <w:t xml:space="preserve">. </w:t>
      </w:r>
    </w:p>
    <w:p w:rsidR="00AF34B7" w:rsidRPr="00E71364" w:rsidRDefault="00AF34B7" w:rsidP="005C37F2">
      <w:pPr>
        <w:spacing w:before="120" w:after="120" w:line="276" w:lineRule="auto"/>
        <w:ind w:firstLine="720"/>
        <w:jc w:val="both"/>
        <w:rPr>
          <w:rFonts w:ascii="Times New Roman" w:hAnsi="Times New Roman" w:cs="Times New Roman"/>
          <w:sz w:val="28"/>
          <w:szCs w:val="28"/>
          <w:lang w:val="sv-SE"/>
        </w:rPr>
      </w:pPr>
    </w:p>
    <w:p w:rsidR="00AF34B7" w:rsidRPr="00E71364" w:rsidRDefault="00AF34B7" w:rsidP="005C37F2">
      <w:pPr>
        <w:spacing w:before="120" w:after="120" w:line="276" w:lineRule="auto"/>
        <w:ind w:firstLine="720"/>
        <w:jc w:val="both"/>
        <w:rPr>
          <w:rFonts w:ascii="Times New Roman" w:eastAsia="Times New Roman" w:hAnsi="Times New Roman" w:cs="Times New Roman"/>
          <w:sz w:val="28"/>
          <w:szCs w:val="28"/>
          <w:highlight w:val="white"/>
          <w:lang w:eastAsia="vi-VN"/>
        </w:rPr>
      </w:pPr>
    </w:p>
    <w:p w:rsidR="00ED2022" w:rsidRPr="00E71364" w:rsidRDefault="00ED2022" w:rsidP="005C37F2">
      <w:pPr>
        <w:spacing w:before="120" w:after="120" w:line="276" w:lineRule="auto"/>
        <w:rPr>
          <w:rFonts w:ascii="Times New Roman" w:hAnsi="Times New Roman" w:cs="Times New Roman"/>
          <w:sz w:val="28"/>
          <w:szCs w:val="28"/>
        </w:rPr>
      </w:pPr>
    </w:p>
    <w:p w:rsidR="00ED2022" w:rsidRPr="00E71364" w:rsidRDefault="00ED2022" w:rsidP="005C37F2">
      <w:pPr>
        <w:spacing w:before="120" w:after="120" w:line="276" w:lineRule="auto"/>
        <w:rPr>
          <w:rFonts w:ascii="Times New Roman" w:hAnsi="Times New Roman" w:cs="Times New Roman"/>
          <w:sz w:val="28"/>
          <w:szCs w:val="28"/>
        </w:rPr>
      </w:pPr>
    </w:p>
    <w:sectPr w:rsidR="00ED2022" w:rsidRPr="00E71364" w:rsidSect="008E63B0">
      <w:headerReference w:type="default" r:id="rId13"/>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7D7" w:rsidRDefault="00A177D7" w:rsidP="008E63B0">
      <w:pPr>
        <w:spacing w:after="0" w:line="240" w:lineRule="auto"/>
      </w:pPr>
      <w:r>
        <w:separator/>
      </w:r>
    </w:p>
  </w:endnote>
  <w:endnote w:type="continuationSeparator" w:id="0">
    <w:p w:rsidR="00A177D7" w:rsidRDefault="00A177D7" w:rsidP="008E6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7D7" w:rsidRDefault="00A177D7" w:rsidP="008E63B0">
      <w:pPr>
        <w:spacing w:after="0" w:line="240" w:lineRule="auto"/>
      </w:pPr>
      <w:r>
        <w:separator/>
      </w:r>
    </w:p>
  </w:footnote>
  <w:footnote w:type="continuationSeparator" w:id="0">
    <w:p w:rsidR="00A177D7" w:rsidRDefault="00A177D7" w:rsidP="008E63B0">
      <w:pPr>
        <w:spacing w:after="0" w:line="240" w:lineRule="auto"/>
      </w:pPr>
      <w:r>
        <w:continuationSeparator/>
      </w:r>
    </w:p>
  </w:footnote>
  <w:footnote w:id="1">
    <w:p w:rsidR="00921F16" w:rsidRPr="00921F16" w:rsidRDefault="00921F16" w:rsidP="00921F16">
      <w:pPr>
        <w:pStyle w:val="FootnoteText"/>
        <w:jc w:val="both"/>
      </w:pPr>
      <w:r w:rsidRPr="00921F16">
        <w:rPr>
          <w:rStyle w:val="FootnoteReference"/>
        </w:rPr>
        <w:footnoteRef/>
      </w:r>
      <w:r w:rsidRPr="00921F16">
        <w:t xml:space="preserve"> </w:t>
      </w:r>
      <w:r w:rsidRPr="00921F16">
        <w:rPr>
          <w:rFonts w:cs="Times New Roman"/>
        </w:rPr>
        <w:t xml:space="preserve">Giao dịch tư lợi </w:t>
      </w:r>
      <w:r>
        <w:rPr>
          <w:rFonts w:cs="Times New Roman"/>
        </w:rPr>
        <w:t xml:space="preserve">được hiểu </w:t>
      </w:r>
      <w:r w:rsidRPr="00921F16">
        <w:rPr>
          <w:rFonts w:cs="Times New Roman"/>
        </w:rPr>
        <w:t>là hành vi của cổ đông lớn, cổ đông nắm quyền kiểm soát sử dụng quyền và lợi thế về thông tin, hiểu biết về doanh nghiệp để thực hiện các giao dịch mang lại lợi ích cho bản thân chứ không vì lợi ích chung của tất cả cổ đông hoặc công ty</w:t>
      </w:r>
    </w:p>
  </w:footnote>
  <w:footnote w:id="2">
    <w:p w:rsidR="00DB793D" w:rsidRDefault="00DB793D">
      <w:pPr>
        <w:pStyle w:val="FootnoteText"/>
      </w:pPr>
      <w:r>
        <w:rPr>
          <w:rStyle w:val="FootnoteReference"/>
        </w:rPr>
        <w:footnoteRef/>
      </w:r>
      <w:r>
        <w:t xml:space="preserve"> Chỉ số quản trị của cổ đông được Ngân hàng thế giới bổ sung thêm từ năm 2015. </w:t>
      </w:r>
    </w:p>
  </w:footnote>
  <w:footnote w:id="3">
    <w:p w:rsidR="007434BD" w:rsidRPr="007434BD" w:rsidRDefault="007434BD" w:rsidP="007434BD">
      <w:pPr>
        <w:pStyle w:val="FootnoteText"/>
      </w:pPr>
      <w:r w:rsidRPr="007434BD">
        <w:rPr>
          <w:rStyle w:val="FootnoteReference"/>
        </w:rPr>
        <w:footnoteRef/>
      </w:r>
      <w:r w:rsidRPr="007434BD">
        <w:t xml:space="preserve"> </w:t>
      </w:r>
      <w:r w:rsidRPr="007434BD">
        <w:rPr>
          <w:rFonts w:cs="Times New Roman"/>
        </w:rPr>
        <w:t>Singapore hiện tại đứng thứ 7 thế giới còn Malaysia đứng thứ 2 thế giới.</w:t>
      </w:r>
    </w:p>
  </w:footnote>
  <w:footnote w:id="4">
    <w:p w:rsidR="005D6A99" w:rsidRDefault="005D6A99" w:rsidP="00C00302">
      <w:pPr>
        <w:pStyle w:val="FootnoteText"/>
        <w:jc w:val="both"/>
      </w:pPr>
      <w:r>
        <w:rPr>
          <w:rStyle w:val="FootnoteReference"/>
        </w:rPr>
        <w:footnoteRef/>
      </w:r>
      <w:r>
        <w:t xml:space="preserve"> </w:t>
      </w:r>
      <w:r w:rsidRPr="00E35078">
        <w:rPr>
          <w:rFonts w:cs="Times New Roman"/>
        </w:rPr>
        <w:t xml:space="preserve">Ví dụ, </w:t>
      </w:r>
      <w:r w:rsidRPr="00E35078">
        <w:rPr>
          <w:rFonts w:cs="Times New Roman"/>
          <w:color w:val="333333"/>
          <w:shd w:val="clear" w:color="auto" w:fill="FFFFFF"/>
        </w:rPr>
        <w:t>trường hợp của Tổng công ty cổ phần Xuất nhập khẩu và Xây dựng Việ</w:t>
      </w:r>
      <w:r>
        <w:rPr>
          <w:rFonts w:cs="Times New Roman"/>
          <w:color w:val="333333"/>
          <w:shd w:val="clear" w:color="auto" w:fill="FFFFFF"/>
        </w:rPr>
        <w:t>t Nam – Vinaconex,</w:t>
      </w:r>
      <w:r w:rsidRPr="00E35078">
        <w:rPr>
          <w:rFonts w:cs="Times New Roman"/>
          <w:color w:val="333333"/>
          <w:shd w:val="clear" w:color="auto" w:fill="FFFFFF"/>
        </w:rPr>
        <w:t xml:space="preserve"> khi một nhóm cổ đông tranh chấp quyền lực đã yêu cầu tòa án phải áp dụng biện pháp khẩn cấp tạm thời dừng thi hành Nghị quyết Đại hội cổ đông bất thường ngày 11/1/2019. Sau khi quyết định của tòa án được thi hành, cổ phiếu của công ty này ngay lập tức giảm giá và các cổ đông của Vinaconex đã bị thiệt hại lên tới 1.236 tỷ đồng (ngày 28/3/2019). Một trường hợp khác là tranh chấp giữa hai cổ đông lớn đồng thời là thành viên trong gia đình, tại cà phê Trung Nguyên. Khi hai cổ đông lớn này chia nhau các chức vụ trong công ty và xảy ra mâu thuẫn gia đình đã kéo theo các chỉ tiêu kinh doanh của doanh nghiệp đi xuống, làm ảnh hưởng đến hoạt động điều hành và quản trị công ty.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99718"/>
      <w:docPartObj>
        <w:docPartGallery w:val="Page Numbers (Top of Page)"/>
        <w:docPartUnique/>
      </w:docPartObj>
    </w:sdtPr>
    <w:sdtEndPr>
      <w:rPr>
        <w:noProof/>
      </w:rPr>
    </w:sdtEndPr>
    <w:sdtContent>
      <w:p w:rsidR="008E63B0" w:rsidRDefault="008E63B0">
        <w:pPr>
          <w:pStyle w:val="Header"/>
          <w:jc w:val="center"/>
        </w:pPr>
        <w:r>
          <w:fldChar w:fldCharType="begin"/>
        </w:r>
        <w:r>
          <w:instrText xml:space="preserve"> PAGE   \* MERGEFORMAT </w:instrText>
        </w:r>
        <w:r>
          <w:fldChar w:fldCharType="separate"/>
        </w:r>
        <w:r w:rsidR="0009489C">
          <w:rPr>
            <w:noProof/>
          </w:rPr>
          <w:t>11</w:t>
        </w:r>
        <w:r>
          <w:rPr>
            <w:noProof/>
          </w:rPr>
          <w:fldChar w:fldCharType="end"/>
        </w:r>
      </w:p>
    </w:sdtContent>
  </w:sdt>
  <w:p w:rsidR="008E63B0" w:rsidRDefault="008E63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28FF"/>
    <w:multiLevelType w:val="hybridMultilevel"/>
    <w:tmpl w:val="1B1EA316"/>
    <w:lvl w:ilvl="0" w:tplc="FA74DF60">
      <w:start w:val="1"/>
      <w:numFmt w:val="decimal"/>
      <w:lvlText w:val="%1."/>
      <w:lvlJc w:val="left"/>
      <w:pPr>
        <w:ind w:left="570" w:hanging="360"/>
      </w:pPr>
      <w:rPr>
        <w:rFonts w:hint="default"/>
        <w:u w:val="wave"/>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148847A6"/>
    <w:multiLevelType w:val="hybridMultilevel"/>
    <w:tmpl w:val="AEFED074"/>
    <w:lvl w:ilvl="0" w:tplc="A9A0E50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43D9B"/>
    <w:multiLevelType w:val="hybridMultilevel"/>
    <w:tmpl w:val="C100B47C"/>
    <w:lvl w:ilvl="0" w:tplc="3D08CE52">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F807046"/>
    <w:multiLevelType w:val="hybridMultilevel"/>
    <w:tmpl w:val="912E28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B55CF7"/>
    <w:multiLevelType w:val="hybridMultilevel"/>
    <w:tmpl w:val="5FE695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CA56EC"/>
    <w:multiLevelType w:val="hybridMultilevel"/>
    <w:tmpl w:val="9A94A4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2D4BAE"/>
    <w:multiLevelType w:val="hybridMultilevel"/>
    <w:tmpl w:val="4D2AD7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A226BB"/>
    <w:multiLevelType w:val="hybridMultilevel"/>
    <w:tmpl w:val="C076FF8A"/>
    <w:lvl w:ilvl="0" w:tplc="03D0A426">
      <w:start w:val="4"/>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3"/>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22"/>
    <w:rsid w:val="000159E9"/>
    <w:rsid w:val="0009489C"/>
    <w:rsid w:val="000A6A15"/>
    <w:rsid w:val="000F05CA"/>
    <w:rsid w:val="001B77D2"/>
    <w:rsid w:val="002253BF"/>
    <w:rsid w:val="002978F5"/>
    <w:rsid w:val="002B04EF"/>
    <w:rsid w:val="00367246"/>
    <w:rsid w:val="003937F7"/>
    <w:rsid w:val="003E383C"/>
    <w:rsid w:val="0044737D"/>
    <w:rsid w:val="00567F27"/>
    <w:rsid w:val="005A60B9"/>
    <w:rsid w:val="005A6299"/>
    <w:rsid w:val="005C37F2"/>
    <w:rsid w:val="005C5D5B"/>
    <w:rsid w:val="005D6A99"/>
    <w:rsid w:val="00654CED"/>
    <w:rsid w:val="00685206"/>
    <w:rsid w:val="006E26ED"/>
    <w:rsid w:val="0073724C"/>
    <w:rsid w:val="007434BD"/>
    <w:rsid w:val="00754E10"/>
    <w:rsid w:val="007B7696"/>
    <w:rsid w:val="007D1802"/>
    <w:rsid w:val="007E00CA"/>
    <w:rsid w:val="007E4E8E"/>
    <w:rsid w:val="008E63B0"/>
    <w:rsid w:val="00901DA8"/>
    <w:rsid w:val="00921F16"/>
    <w:rsid w:val="00970278"/>
    <w:rsid w:val="009F10AD"/>
    <w:rsid w:val="00A013E5"/>
    <w:rsid w:val="00A177D7"/>
    <w:rsid w:val="00A330F8"/>
    <w:rsid w:val="00AF34B7"/>
    <w:rsid w:val="00BA1311"/>
    <w:rsid w:val="00C00302"/>
    <w:rsid w:val="00C82C7F"/>
    <w:rsid w:val="00CA531B"/>
    <w:rsid w:val="00CC723D"/>
    <w:rsid w:val="00CD4BB3"/>
    <w:rsid w:val="00CE60E4"/>
    <w:rsid w:val="00D517B4"/>
    <w:rsid w:val="00D830DC"/>
    <w:rsid w:val="00DB793D"/>
    <w:rsid w:val="00E35078"/>
    <w:rsid w:val="00E71364"/>
    <w:rsid w:val="00EB509E"/>
    <w:rsid w:val="00ED2022"/>
    <w:rsid w:val="00F25CBB"/>
    <w:rsid w:val="00F466B5"/>
    <w:rsid w:val="00FA1EE7"/>
    <w:rsid w:val="00FD6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7B4F6"/>
  <w15:chartTrackingRefBased/>
  <w15:docId w15:val="{2133E4E7-EA38-43E7-BB0D-87EC31210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Paragraph,Main numbered paragraph,References,Numbered List Paragraph,123 List Paragraph,Bullets,List Paragraph (numbered (a)),List Paragraph nowy,Liste 1,List_Paragraph,Multilevel para_II,List Paragraph1,Bullet paras,Heading 1.1"/>
    <w:basedOn w:val="Normal"/>
    <w:link w:val="ListParagraphChar"/>
    <w:uiPriority w:val="34"/>
    <w:qFormat/>
    <w:rsid w:val="00ED2022"/>
    <w:pPr>
      <w:spacing w:after="200" w:line="276" w:lineRule="auto"/>
      <w:ind w:left="720"/>
      <w:contextualSpacing/>
    </w:pPr>
    <w:rPr>
      <w:rFonts w:ascii="Calibri" w:eastAsia="Calibri" w:hAnsi="Calibri" w:cs="Times New Roman"/>
      <w:lang w:val="x-none" w:eastAsia="x-none"/>
    </w:rPr>
  </w:style>
  <w:style w:type="character" w:customStyle="1" w:styleId="ListParagraphChar">
    <w:name w:val="List Paragraph Char"/>
    <w:aliases w:val="Numbered Paragraph Char,Main numbered paragraph Char,References Char,Numbered List Paragraph Char,123 List Paragraph Char,Bullets Char,List Paragraph (numbered (a)) Char,List Paragraph nowy Char,Liste 1 Char,List_Paragraph Char"/>
    <w:link w:val="ListParagraph"/>
    <w:uiPriority w:val="34"/>
    <w:qFormat/>
    <w:locked/>
    <w:rsid w:val="00ED2022"/>
    <w:rPr>
      <w:rFonts w:ascii="Calibri" w:eastAsia="Calibri" w:hAnsi="Calibri" w:cs="Times New Roman"/>
      <w:lang w:val="x-none" w:eastAsia="x-none"/>
    </w:rPr>
  </w:style>
  <w:style w:type="paragraph" w:styleId="Header">
    <w:name w:val="header"/>
    <w:basedOn w:val="Normal"/>
    <w:link w:val="HeaderChar"/>
    <w:uiPriority w:val="99"/>
    <w:unhideWhenUsed/>
    <w:rsid w:val="008E63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63B0"/>
  </w:style>
  <w:style w:type="paragraph" w:styleId="Footer">
    <w:name w:val="footer"/>
    <w:basedOn w:val="Normal"/>
    <w:link w:val="FooterChar"/>
    <w:uiPriority w:val="99"/>
    <w:unhideWhenUsed/>
    <w:rsid w:val="008E63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63B0"/>
  </w:style>
  <w:style w:type="paragraph" w:styleId="Caption">
    <w:name w:val="caption"/>
    <w:basedOn w:val="Normal"/>
    <w:next w:val="Normal"/>
    <w:uiPriority w:val="35"/>
    <w:unhideWhenUsed/>
    <w:qFormat/>
    <w:rsid w:val="001B77D2"/>
    <w:pPr>
      <w:spacing w:after="200" w:line="240" w:lineRule="auto"/>
    </w:pPr>
    <w:rPr>
      <w:rFonts w:eastAsiaTheme="minorEastAsia"/>
      <w:b/>
      <w:bCs/>
      <w:color w:val="5B9BD5" w:themeColor="accent1"/>
      <w:sz w:val="18"/>
      <w:szCs w:val="18"/>
    </w:rPr>
  </w:style>
  <w:style w:type="paragraph" w:styleId="FootnoteText">
    <w:name w:val="footnote text"/>
    <w:aliases w:val="Footnote Text Char Char Char Char Char,Footnote Text Char Char Char Char Char Char Ch,Footnote Text Char Char Char Char Char Char Ch Char Char Char,ft,fn,ADB,Зн,C,single space,FOOTNOTES,Footnote Text Char1 Char, Char"/>
    <w:basedOn w:val="Normal"/>
    <w:link w:val="FootnoteTextChar"/>
    <w:unhideWhenUsed/>
    <w:qFormat/>
    <w:rsid w:val="001B77D2"/>
    <w:pPr>
      <w:spacing w:after="0" w:line="240" w:lineRule="auto"/>
    </w:pPr>
    <w:rPr>
      <w:rFonts w:ascii="Times New Roman" w:hAnsi="Times New Roman"/>
      <w:sz w:val="20"/>
      <w:szCs w:val="20"/>
    </w:rPr>
  </w:style>
  <w:style w:type="character" w:customStyle="1" w:styleId="FootnoteTextChar">
    <w:name w:val="Footnote Text Char"/>
    <w:aliases w:val="Footnote Text Char Char Char Char Char Char,Footnote Text Char Char Char Char Char Char Ch Char,Footnote Text Char Char Char Char Char Char Ch Char Char Char Char,ft Char,fn Char,ADB Char,Зн Char,C Char,single space Char, Char Char"/>
    <w:basedOn w:val="DefaultParagraphFont"/>
    <w:link w:val="FootnoteText"/>
    <w:rsid w:val="001B77D2"/>
    <w:rPr>
      <w:rFonts w:ascii="Times New Roman" w:hAnsi="Times New Roman"/>
      <w:sz w:val="20"/>
      <w:szCs w:val="20"/>
    </w:rPr>
  </w:style>
  <w:style w:type="character" w:styleId="FootnoteReference">
    <w:name w:val="footnote reference"/>
    <w:aliases w:val="Footnote,Footnote text,ftref,BearingPoint,16 Point,Superscript 6 Point,fr,Footnote Text1,f,(NECG) Footnote Reference,BVI fnr,footnote ref,Footnote Text Char Char Char Char Char Char Ch Char Char Char Char Char Char C,Ref,10 pt,Black,R"/>
    <w:basedOn w:val="DefaultParagraphFont"/>
    <w:unhideWhenUsed/>
    <w:qFormat/>
    <w:rsid w:val="001B77D2"/>
    <w:rPr>
      <w:vertAlign w:val="superscript"/>
    </w:rPr>
  </w:style>
  <w:style w:type="paragraph" w:styleId="NormalWeb">
    <w:name w:val="Normal (Web)"/>
    <w:basedOn w:val="Normal"/>
    <w:uiPriority w:val="99"/>
    <w:unhideWhenUsed/>
    <w:rsid w:val="00CE60E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9F10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47312">
      <w:bodyDiv w:val="1"/>
      <w:marLeft w:val="0"/>
      <w:marRight w:val="0"/>
      <w:marTop w:val="0"/>
      <w:marBottom w:val="0"/>
      <w:divBdr>
        <w:top w:val="none" w:sz="0" w:space="0" w:color="auto"/>
        <w:left w:val="none" w:sz="0" w:space="0" w:color="auto"/>
        <w:bottom w:val="none" w:sz="0" w:space="0" w:color="auto"/>
        <w:right w:val="none" w:sz="0" w:space="0" w:color="auto"/>
      </w:divBdr>
    </w:div>
    <w:div w:id="463545365">
      <w:bodyDiv w:val="1"/>
      <w:marLeft w:val="0"/>
      <w:marRight w:val="0"/>
      <w:marTop w:val="0"/>
      <w:marBottom w:val="0"/>
      <w:divBdr>
        <w:top w:val="none" w:sz="0" w:space="0" w:color="auto"/>
        <w:left w:val="none" w:sz="0" w:space="0" w:color="auto"/>
        <w:bottom w:val="none" w:sz="0" w:space="0" w:color="auto"/>
        <w:right w:val="none" w:sz="0" w:space="0" w:color="auto"/>
      </w:divBdr>
    </w:div>
    <w:div w:id="1147894990">
      <w:bodyDiv w:val="1"/>
      <w:marLeft w:val="0"/>
      <w:marRight w:val="0"/>
      <w:marTop w:val="0"/>
      <w:marBottom w:val="0"/>
      <w:divBdr>
        <w:top w:val="none" w:sz="0" w:space="0" w:color="auto"/>
        <w:left w:val="none" w:sz="0" w:space="0" w:color="auto"/>
        <w:bottom w:val="none" w:sz="0" w:space="0" w:color="auto"/>
        <w:right w:val="none" w:sz="0" w:space="0" w:color="auto"/>
      </w:divBdr>
    </w:div>
    <w:div w:id="1752699784">
      <w:bodyDiv w:val="1"/>
      <w:marLeft w:val="0"/>
      <w:marRight w:val="0"/>
      <w:marTop w:val="0"/>
      <w:marBottom w:val="0"/>
      <w:divBdr>
        <w:top w:val="none" w:sz="0" w:space="0" w:color="auto"/>
        <w:left w:val="none" w:sz="0" w:space="0" w:color="auto"/>
        <w:bottom w:val="none" w:sz="0" w:space="0" w:color="auto"/>
        <w:right w:val="none" w:sz="0" w:space="0" w:color="auto"/>
      </w:divBdr>
    </w:div>
    <w:div w:id="203136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oingbusiness.org/en/data/exploretopics/starting-a-business/good-practi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ingbusiness.org/en/reports/global-reports/doing-business-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guyen%20Bich%20Lam\Dropbox\Work\2019\Starting%20Business%20and%20Protecting%20Shareholder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Sheet1!$E$3</c:f>
              <c:strCache>
                <c:ptCount val="1"/>
                <c:pt idx="0">
                  <c:v>Vietnam</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elete val="1"/>
          </c:dLbls>
          <c:cat>
            <c:numRef>
              <c:f>Sheet1!$F$2:$L$2</c:f>
              <c:numCache>
                <c:formatCode>General</c:formatCode>
                <c:ptCount val="7"/>
                <c:pt idx="0">
                  <c:v>2013</c:v>
                </c:pt>
                <c:pt idx="1">
                  <c:v>2014</c:v>
                </c:pt>
                <c:pt idx="2">
                  <c:v>2015</c:v>
                </c:pt>
                <c:pt idx="3">
                  <c:v>2016</c:v>
                </c:pt>
                <c:pt idx="4">
                  <c:v>2017</c:v>
                </c:pt>
                <c:pt idx="5">
                  <c:v>2018</c:v>
                </c:pt>
                <c:pt idx="6">
                  <c:v>2019</c:v>
                </c:pt>
              </c:numCache>
            </c:numRef>
          </c:cat>
          <c:val>
            <c:numRef>
              <c:f>Sheet1!$F$3:$L$3</c:f>
              <c:numCache>
                <c:formatCode>General</c:formatCode>
                <c:ptCount val="7"/>
                <c:pt idx="0">
                  <c:v>30</c:v>
                </c:pt>
                <c:pt idx="1">
                  <c:v>33</c:v>
                </c:pt>
                <c:pt idx="2">
                  <c:v>46.67</c:v>
                </c:pt>
                <c:pt idx="3">
                  <c:v>45</c:v>
                </c:pt>
                <c:pt idx="4">
                  <c:v>53.33</c:v>
                </c:pt>
                <c:pt idx="5">
                  <c:v>55</c:v>
                </c:pt>
                <c:pt idx="6">
                  <c:v>55</c:v>
                </c:pt>
              </c:numCache>
            </c:numRef>
          </c:val>
          <c:smooth val="0"/>
          <c:extLst>
            <c:ext xmlns:c16="http://schemas.microsoft.com/office/drawing/2014/chart" uri="{C3380CC4-5D6E-409C-BE32-E72D297353CC}">
              <c16:uniqueId val="{00000000-355C-4184-B591-DAB74E67B285}"/>
            </c:ext>
          </c:extLst>
        </c:ser>
        <c:ser>
          <c:idx val="1"/>
          <c:order val="1"/>
          <c:tx>
            <c:strRef>
              <c:f>Sheet1!$E$4</c:f>
              <c:strCache>
                <c:ptCount val="1"/>
                <c:pt idx="0">
                  <c:v>Singapore</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elete val="1"/>
          </c:dLbls>
          <c:cat>
            <c:numRef>
              <c:f>Sheet1!$F$2:$L$2</c:f>
              <c:numCache>
                <c:formatCode>General</c:formatCode>
                <c:ptCount val="7"/>
                <c:pt idx="0">
                  <c:v>2013</c:v>
                </c:pt>
                <c:pt idx="1">
                  <c:v>2014</c:v>
                </c:pt>
                <c:pt idx="2">
                  <c:v>2015</c:v>
                </c:pt>
                <c:pt idx="3">
                  <c:v>2016</c:v>
                </c:pt>
                <c:pt idx="4">
                  <c:v>2017</c:v>
                </c:pt>
                <c:pt idx="5">
                  <c:v>2018</c:v>
                </c:pt>
                <c:pt idx="6">
                  <c:v>2019</c:v>
                </c:pt>
              </c:numCache>
            </c:numRef>
          </c:cat>
          <c:val>
            <c:numRef>
              <c:f>Sheet1!$F$4:$L$4</c:f>
              <c:numCache>
                <c:formatCode>General</c:formatCode>
                <c:ptCount val="7"/>
                <c:pt idx="0">
                  <c:v>93</c:v>
                </c:pt>
                <c:pt idx="1">
                  <c:v>93</c:v>
                </c:pt>
                <c:pt idx="2">
                  <c:v>80</c:v>
                </c:pt>
                <c:pt idx="3">
                  <c:v>83.33</c:v>
                </c:pt>
                <c:pt idx="4">
                  <c:v>83.33</c:v>
                </c:pt>
                <c:pt idx="5">
                  <c:v>80</c:v>
                </c:pt>
                <c:pt idx="6">
                  <c:v>80</c:v>
                </c:pt>
              </c:numCache>
            </c:numRef>
          </c:val>
          <c:smooth val="0"/>
          <c:extLst>
            <c:ext xmlns:c16="http://schemas.microsoft.com/office/drawing/2014/chart" uri="{C3380CC4-5D6E-409C-BE32-E72D297353CC}">
              <c16:uniqueId val="{00000001-355C-4184-B591-DAB74E67B285}"/>
            </c:ext>
          </c:extLst>
        </c:ser>
        <c:ser>
          <c:idx val="2"/>
          <c:order val="2"/>
          <c:tx>
            <c:strRef>
              <c:f>Sheet1!$E$5</c:f>
              <c:strCache>
                <c:ptCount val="1"/>
                <c:pt idx="0">
                  <c:v>Malaysia</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elete val="1"/>
          </c:dLbls>
          <c:cat>
            <c:numRef>
              <c:f>Sheet1!$F$2:$L$2</c:f>
              <c:numCache>
                <c:formatCode>General</c:formatCode>
                <c:ptCount val="7"/>
                <c:pt idx="0">
                  <c:v>2013</c:v>
                </c:pt>
                <c:pt idx="1">
                  <c:v>2014</c:v>
                </c:pt>
                <c:pt idx="2">
                  <c:v>2015</c:v>
                </c:pt>
                <c:pt idx="3">
                  <c:v>2016</c:v>
                </c:pt>
                <c:pt idx="4">
                  <c:v>2017</c:v>
                </c:pt>
                <c:pt idx="5">
                  <c:v>2018</c:v>
                </c:pt>
                <c:pt idx="6">
                  <c:v>2019</c:v>
                </c:pt>
              </c:numCache>
            </c:numRef>
          </c:cat>
          <c:val>
            <c:numRef>
              <c:f>Sheet1!$F$5:$L$5</c:f>
              <c:numCache>
                <c:formatCode>General</c:formatCode>
                <c:ptCount val="7"/>
                <c:pt idx="0">
                  <c:v>87</c:v>
                </c:pt>
                <c:pt idx="1">
                  <c:v>87</c:v>
                </c:pt>
                <c:pt idx="2">
                  <c:v>74.17</c:v>
                </c:pt>
                <c:pt idx="3">
                  <c:v>78.33</c:v>
                </c:pt>
                <c:pt idx="4">
                  <c:v>80</c:v>
                </c:pt>
                <c:pt idx="5">
                  <c:v>80</c:v>
                </c:pt>
                <c:pt idx="6">
                  <c:v>81.67</c:v>
                </c:pt>
              </c:numCache>
            </c:numRef>
          </c:val>
          <c:smooth val="0"/>
          <c:extLst>
            <c:ext xmlns:c16="http://schemas.microsoft.com/office/drawing/2014/chart" uri="{C3380CC4-5D6E-409C-BE32-E72D297353CC}">
              <c16:uniqueId val="{00000002-355C-4184-B591-DAB74E67B285}"/>
            </c:ext>
          </c:extLst>
        </c:ser>
        <c:ser>
          <c:idx val="3"/>
          <c:order val="3"/>
          <c:tx>
            <c:strRef>
              <c:f>Sheet1!$E$6</c:f>
              <c:strCache>
                <c:ptCount val="1"/>
                <c:pt idx="0">
                  <c:v>Thailand</c:v>
                </c:pt>
              </c:strCache>
            </c:strRef>
          </c:tx>
          <c:spPr>
            <a:ln w="22225" cap="rnd">
              <a:solidFill>
                <a:schemeClr val="accent4"/>
              </a:solidFill>
              <a:round/>
            </a:ln>
            <a:effectLst/>
          </c:spPr>
          <c:marker>
            <c:symbol val="x"/>
            <c:size val="6"/>
            <c:spPr>
              <a:noFill/>
              <a:ln w="9525">
                <a:solidFill>
                  <a:schemeClr val="accent4"/>
                </a:solidFill>
                <a:round/>
              </a:ln>
              <a:effectLst/>
            </c:spPr>
          </c:marker>
          <c:dLbls>
            <c:delete val="1"/>
          </c:dLbls>
          <c:cat>
            <c:numRef>
              <c:f>Sheet1!$F$2:$L$2</c:f>
              <c:numCache>
                <c:formatCode>General</c:formatCode>
                <c:ptCount val="7"/>
                <c:pt idx="0">
                  <c:v>2013</c:v>
                </c:pt>
                <c:pt idx="1">
                  <c:v>2014</c:v>
                </c:pt>
                <c:pt idx="2">
                  <c:v>2015</c:v>
                </c:pt>
                <c:pt idx="3">
                  <c:v>2016</c:v>
                </c:pt>
                <c:pt idx="4">
                  <c:v>2017</c:v>
                </c:pt>
                <c:pt idx="5">
                  <c:v>2018</c:v>
                </c:pt>
                <c:pt idx="6">
                  <c:v>2019</c:v>
                </c:pt>
              </c:numCache>
            </c:numRef>
          </c:cat>
          <c:val>
            <c:numRef>
              <c:f>Sheet1!$F$6:$L$6</c:f>
              <c:numCache>
                <c:formatCode>General</c:formatCode>
                <c:ptCount val="7"/>
                <c:pt idx="0">
                  <c:v>77</c:v>
                </c:pt>
                <c:pt idx="1">
                  <c:v>77</c:v>
                </c:pt>
                <c:pt idx="2">
                  <c:v>65.83</c:v>
                </c:pt>
                <c:pt idx="3">
                  <c:v>63.33</c:v>
                </c:pt>
                <c:pt idx="4">
                  <c:v>66.67</c:v>
                </c:pt>
                <c:pt idx="5">
                  <c:v>73.33</c:v>
                </c:pt>
                <c:pt idx="6">
                  <c:v>75</c:v>
                </c:pt>
              </c:numCache>
            </c:numRef>
          </c:val>
          <c:smooth val="0"/>
          <c:extLst>
            <c:ext xmlns:c16="http://schemas.microsoft.com/office/drawing/2014/chart" uri="{C3380CC4-5D6E-409C-BE32-E72D297353CC}">
              <c16:uniqueId val="{00000003-355C-4184-B591-DAB74E67B285}"/>
            </c:ext>
          </c:extLst>
        </c:ser>
        <c:ser>
          <c:idx val="4"/>
          <c:order val="4"/>
          <c:tx>
            <c:strRef>
              <c:f>Sheet1!$E$7</c:f>
              <c:strCache>
                <c:ptCount val="1"/>
                <c:pt idx="0">
                  <c:v>Indonesia</c:v>
                </c:pt>
              </c:strCache>
            </c:strRef>
          </c:tx>
          <c:spPr>
            <a:ln w="22225" cap="rnd">
              <a:solidFill>
                <a:schemeClr val="accent5"/>
              </a:solidFill>
              <a:round/>
            </a:ln>
            <a:effectLst/>
          </c:spPr>
          <c:marker>
            <c:symbol val="star"/>
            <c:size val="6"/>
            <c:spPr>
              <a:noFill/>
              <a:ln w="9525">
                <a:solidFill>
                  <a:schemeClr val="accent5"/>
                </a:solidFill>
                <a:round/>
              </a:ln>
              <a:effectLst/>
            </c:spPr>
          </c:marker>
          <c:dLbls>
            <c:delete val="1"/>
          </c:dLbls>
          <c:cat>
            <c:numRef>
              <c:f>Sheet1!$F$2:$L$2</c:f>
              <c:numCache>
                <c:formatCode>General</c:formatCode>
                <c:ptCount val="7"/>
                <c:pt idx="0">
                  <c:v>2013</c:v>
                </c:pt>
                <c:pt idx="1">
                  <c:v>2014</c:v>
                </c:pt>
                <c:pt idx="2">
                  <c:v>2015</c:v>
                </c:pt>
                <c:pt idx="3">
                  <c:v>2016</c:v>
                </c:pt>
                <c:pt idx="4">
                  <c:v>2017</c:v>
                </c:pt>
                <c:pt idx="5">
                  <c:v>2018</c:v>
                </c:pt>
                <c:pt idx="6">
                  <c:v>2019</c:v>
                </c:pt>
              </c:numCache>
            </c:numRef>
          </c:cat>
          <c:val>
            <c:numRef>
              <c:f>Sheet1!$F$7:$L$7</c:f>
              <c:numCache>
                <c:formatCode>General</c:formatCode>
                <c:ptCount val="7"/>
                <c:pt idx="0">
                  <c:v>60</c:v>
                </c:pt>
                <c:pt idx="1">
                  <c:v>60</c:v>
                </c:pt>
                <c:pt idx="2">
                  <c:v>60.83</c:v>
                </c:pt>
                <c:pt idx="3">
                  <c:v>53.33</c:v>
                </c:pt>
                <c:pt idx="4">
                  <c:v>56.67</c:v>
                </c:pt>
                <c:pt idx="5">
                  <c:v>63.33</c:v>
                </c:pt>
                <c:pt idx="6">
                  <c:v>63.33</c:v>
                </c:pt>
              </c:numCache>
            </c:numRef>
          </c:val>
          <c:smooth val="0"/>
          <c:extLst>
            <c:ext xmlns:c16="http://schemas.microsoft.com/office/drawing/2014/chart" uri="{C3380CC4-5D6E-409C-BE32-E72D297353CC}">
              <c16:uniqueId val="{00000004-355C-4184-B591-DAB74E67B285}"/>
            </c:ext>
          </c:extLst>
        </c:ser>
        <c:ser>
          <c:idx val="5"/>
          <c:order val="5"/>
          <c:tx>
            <c:strRef>
              <c:f>Sheet1!$E$8</c:f>
              <c:strCache>
                <c:ptCount val="1"/>
                <c:pt idx="0">
                  <c:v>Philippines</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dLbls>
            <c:delete val="1"/>
          </c:dLbls>
          <c:cat>
            <c:numRef>
              <c:f>Sheet1!$F$2:$L$2</c:f>
              <c:numCache>
                <c:formatCode>General</c:formatCode>
                <c:ptCount val="7"/>
                <c:pt idx="0">
                  <c:v>2013</c:v>
                </c:pt>
                <c:pt idx="1">
                  <c:v>2014</c:v>
                </c:pt>
                <c:pt idx="2">
                  <c:v>2015</c:v>
                </c:pt>
                <c:pt idx="3">
                  <c:v>2016</c:v>
                </c:pt>
                <c:pt idx="4">
                  <c:v>2017</c:v>
                </c:pt>
                <c:pt idx="5">
                  <c:v>2018</c:v>
                </c:pt>
                <c:pt idx="6">
                  <c:v>2019</c:v>
                </c:pt>
              </c:numCache>
            </c:numRef>
          </c:cat>
          <c:val>
            <c:numRef>
              <c:f>Sheet1!$F$8:$L$8</c:f>
              <c:numCache>
                <c:formatCode>General</c:formatCode>
                <c:ptCount val="7"/>
                <c:pt idx="0">
                  <c:v>43</c:v>
                </c:pt>
                <c:pt idx="1">
                  <c:v>43</c:v>
                </c:pt>
                <c:pt idx="2">
                  <c:v>41.67</c:v>
                </c:pt>
                <c:pt idx="3">
                  <c:v>38.33</c:v>
                </c:pt>
                <c:pt idx="4">
                  <c:v>41.67</c:v>
                </c:pt>
                <c:pt idx="5">
                  <c:v>40</c:v>
                </c:pt>
                <c:pt idx="6">
                  <c:v>43.33</c:v>
                </c:pt>
              </c:numCache>
            </c:numRef>
          </c:val>
          <c:smooth val="0"/>
          <c:extLst>
            <c:ext xmlns:c16="http://schemas.microsoft.com/office/drawing/2014/chart" uri="{C3380CC4-5D6E-409C-BE32-E72D297353CC}">
              <c16:uniqueId val="{00000005-355C-4184-B591-DAB74E67B285}"/>
            </c:ext>
          </c:extLst>
        </c:ser>
        <c:dLbls>
          <c:dLblPos val="ctr"/>
          <c:showLegendKey val="0"/>
          <c:showVal val="1"/>
          <c:showCatName val="0"/>
          <c:showSerName val="0"/>
          <c:showPercent val="0"/>
          <c:showBubbleSize val="0"/>
        </c:dLbls>
        <c:marker val="1"/>
        <c:smooth val="0"/>
        <c:axId val="405092288"/>
        <c:axId val="405092680"/>
      </c:lineChart>
      <c:catAx>
        <c:axId val="405092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05092680"/>
        <c:crosses val="autoZero"/>
        <c:auto val="1"/>
        <c:lblAlgn val="ctr"/>
        <c:lblOffset val="100"/>
        <c:noMultiLvlLbl val="0"/>
      </c:catAx>
      <c:valAx>
        <c:axId val="4050926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092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4DC16-E969-414B-B325-A46F3CB60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3147</Words>
  <Characters>17938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 Too</dc:creator>
  <cp:keywords/>
  <dc:description/>
  <cp:lastModifiedBy>Acer</cp:lastModifiedBy>
  <cp:revision>2</cp:revision>
  <dcterms:created xsi:type="dcterms:W3CDTF">2021-03-22T08:33:00Z</dcterms:created>
  <dcterms:modified xsi:type="dcterms:W3CDTF">2021-03-22T08:33:00Z</dcterms:modified>
</cp:coreProperties>
</file>